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FE54C" w14:textId="6A25A212" w:rsidR="00C71456" w:rsidRPr="00CE0424" w:rsidRDefault="00C71456" w:rsidP="00C71456">
      <w:pPr>
        <w:pStyle w:val="3GPPHeader"/>
        <w:spacing w:after="60"/>
        <w:rPr>
          <w:sz w:val="32"/>
          <w:szCs w:val="32"/>
          <w:highlight w:val="yellow"/>
        </w:rPr>
      </w:pPr>
      <w:r w:rsidRPr="00CE0424">
        <w:t>3GPP TSG-RAN WG</w:t>
      </w:r>
      <w:r>
        <w:t>1</w:t>
      </w:r>
      <w:r w:rsidRPr="00CE0424">
        <w:t xml:space="preserve"> </w:t>
      </w:r>
      <w:r>
        <w:t xml:space="preserve">Meeting </w:t>
      </w:r>
      <w:r w:rsidRPr="00CE0424">
        <w:t>#</w:t>
      </w:r>
      <w:r>
        <w:t>101-e</w:t>
      </w:r>
      <w:r w:rsidRPr="00CE0424">
        <w:tab/>
      </w:r>
      <w:r w:rsidRPr="00D036B7">
        <w:rPr>
          <w:sz w:val="32"/>
          <w:szCs w:val="32"/>
        </w:rPr>
        <w:t>Tdoc R1-20</w:t>
      </w:r>
      <w:r w:rsidR="00D036B7" w:rsidRPr="00D036B7">
        <w:rPr>
          <w:sz w:val="32"/>
          <w:szCs w:val="32"/>
        </w:rPr>
        <w:t>03847</w:t>
      </w:r>
    </w:p>
    <w:p w14:paraId="762C5844" w14:textId="77777777" w:rsidR="00C71456" w:rsidRPr="00CE0424" w:rsidRDefault="00C71456" w:rsidP="00C71456">
      <w:pPr>
        <w:pStyle w:val="3GPPHeader"/>
      </w:pPr>
      <w:r>
        <w:t>e-Meeting</w:t>
      </w:r>
      <w:r w:rsidRPr="009027D4">
        <w:t>, 2</w:t>
      </w:r>
      <w:r>
        <w:t>5</w:t>
      </w:r>
      <w:r w:rsidRPr="009B02A0">
        <w:rPr>
          <w:vertAlign w:val="superscript"/>
        </w:rPr>
        <w:t>th</w:t>
      </w:r>
      <w:r>
        <w:t xml:space="preserve"> May – 5</w:t>
      </w:r>
      <w:r w:rsidRPr="009B02A0">
        <w:rPr>
          <w:vertAlign w:val="superscript"/>
        </w:rPr>
        <w:t>th</w:t>
      </w:r>
      <w:r>
        <w:t xml:space="preserve"> June, </w:t>
      </w:r>
      <w:r w:rsidRPr="009027D4">
        <w:t>2020</w:t>
      </w:r>
    </w:p>
    <w:p w14:paraId="5CE5E37F" w14:textId="77777777" w:rsidR="00E90E49" w:rsidRPr="00CE0424" w:rsidRDefault="00E90E49" w:rsidP="00357380">
      <w:pPr>
        <w:pStyle w:val="3GPPHeader"/>
      </w:pPr>
    </w:p>
    <w:p w14:paraId="7A555DD8" w14:textId="1872762B" w:rsidR="00E90E49" w:rsidRPr="004009D8" w:rsidRDefault="00E90E49" w:rsidP="00311702">
      <w:pPr>
        <w:pStyle w:val="3GPPHeader"/>
        <w:rPr>
          <w:sz w:val="22"/>
        </w:rPr>
      </w:pPr>
      <w:r w:rsidRPr="004009D8">
        <w:rPr>
          <w:sz w:val="22"/>
        </w:rPr>
        <w:t>Agenda Item:</w:t>
      </w:r>
      <w:r w:rsidRPr="004009D8">
        <w:rPr>
          <w:sz w:val="22"/>
        </w:rPr>
        <w:tab/>
      </w:r>
      <w:r w:rsidR="009027D4" w:rsidRPr="004009D8">
        <w:rPr>
          <w:sz w:val="22"/>
        </w:rPr>
        <w:t>7.2.2.</w:t>
      </w:r>
      <w:r w:rsidR="00D4149E" w:rsidRPr="004009D8">
        <w:rPr>
          <w:sz w:val="22"/>
        </w:rPr>
        <w:t>2.5</w:t>
      </w:r>
    </w:p>
    <w:p w14:paraId="37FE1816"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9EEDE22" w14:textId="3B9AAEAC" w:rsidR="00E90E49" w:rsidRPr="00CE0424" w:rsidRDefault="003D3C45" w:rsidP="00311702">
      <w:pPr>
        <w:pStyle w:val="3GPPHeader"/>
        <w:rPr>
          <w:sz w:val="22"/>
        </w:rPr>
      </w:pPr>
      <w:r>
        <w:rPr>
          <w:sz w:val="22"/>
        </w:rPr>
        <w:t>Title:</w:t>
      </w:r>
      <w:r w:rsidR="00E90E49" w:rsidRPr="00CE0424">
        <w:rPr>
          <w:sz w:val="22"/>
        </w:rPr>
        <w:tab/>
      </w:r>
      <w:r w:rsidR="00D4149E">
        <w:rPr>
          <w:sz w:val="22"/>
        </w:rPr>
        <w:t>Wideband Operation</w:t>
      </w:r>
    </w:p>
    <w:p w14:paraId="4BCC8588" w14:textId="77777777" w:rsidR="00E90E49" w:rsidRPr="00CE0424" w:rsidRDefault="00E90E49" w:rsidP="00D546FF">
      <w:pPr>
        <w:pStyle w:val="3GPPHeader"/>
        <w:rPr>
          <w:sz w:val="22"/>
        </w:rPr>
      </w:pPr>
      <w:r w:rsidRPr="00CE0424">
        <w:rPr>
          <w:sz w:val="22"/>
        </w:rPr>
        <w:t>Document for:</w:t>
      </w:r>
      <w:r w:rsidRPr="00CE0424">
        <w:rPr>
          <w:sz w:val="22"/>
        </w:rPr>
        <w:tab/>
      </w:r>
      <w:r w:rsidRPr="009027D4">
        <w:rPr>
          <w:sz w:val="22"/>
        </w:rPr>
        <w:t>Discussion, Decision</w:t>
      </w:r>
      <w:bookmarkStart w:id="0" w:name="_GoBack"/>
      <w:bookmarkEnd w:id="0"/>
    </w:p>
    <w:p w14:paraId="002BA1AE" w14:textId="77777777" w:rsidR="00E90E49" w:rsidRPr="00CE0424" w:rsidRDefault="00E90E49" w:rsidP="00E90E49"/>
    <w:p w14:paraId="24E63993" w14:textId="77777777" w:rsidR="00E90E49" w:rsidRPr="00CE0424" w:rsidRDefault="00230D18" w:rsidP="00CE0424">
      <w:pPr>
        <w:pStyle w:val="Heading1"/>
      </w:pPr>
      <w:r>
        <w:t>1</w:t>
      </w:r>
      <w:r>
        <w:tab/>
      </w:r>
      <w:r w:rsidR="00E90E49" w:rsidRPr="00CE0424">
        <w:t>Introduction</w:t>
      </w:r>
    </w:p>
    <w:p w14:paraId="2F3B7A12" w14:textId="2724EDA2" w:rsidR="00477768" w:rsidRPr="00CE0424" w:rsidRDefault="000E3014" w:rsidP="00CE0424">
      <w:pPr>
        <w:pStyle w:val="BodyText"/>
      </w:pPr>
      <w:r>
        <w:t xml:space="preserve">This document is for the purposes of NR-U maintenance under the </w:t>
      </w:r>
      <w:r w:rsidR="00D4149E">
        <w:t>wideband operation</w:t>
      </w:r>
      <w:r>
        <w:t xml:space="preserve"> agenda item.</w:t>
      </w:r>
    </w:p>
    <w:p w14:paraId="777E2A2C" w14:textId="05ABE04C" w:rsidR="002B7173" w:rsidRDefault="00230D18" w:rsidP="002B7173">
      <w:pPr>
        <w:pStyle w:val="Heading1"/>
      </w:pPr>
      <w:bookmarkStart w:id="1" w:name="_Ref178064866"/>
      <w:r>
        <w:t>2</w:t>
      </w:r>
      <w:r>
        <w:tab/>
      </w:r>
      <w:bookmarkEnd w:id="1"/>
      <w:r w:rsidR="007D39EE">
        <w:t>UL Carrier Without Intra-Cell Guard Bands</w:t>
      </w:r>
    </w:p>
    <w:p w14:paraId="1F1BCA32" w14:textId="0EA92B20" w:rsidR="007D39EE" w:rsidRDefault="007D39EE" w:rsidP="005D7195">
      <w:pPr>
        <w:pStyle w:val="BodyText"/>
        <w:rPr>
          <w:lang w:val="en-GB"/>
        </w:rPr>
      </w:pPr>
      <w:r>
        <w:rPr>
          <w:lang w:val="en-GB"/>
        </w:rPr>
        <w:t>In the prior meeting, the following agreement was reached on configuration of an UL carrier without intra-cell guardbands.</w:t>
      </w:r>
    </w:p>
    <w:p w14:paraId="2B99D4F3" w14:textId="77777777" w:rsidR="007D39EE" w:rsidRPr="007D39EE" w:rsidRDefault="007D39EE" w:rsidP="007D39EE">
      <w:pPr>
        <w:wordWrap w:val="0"/>
        <w:spacing w:after="0" w:line="240" w:lineRule="auto"/>
        <w:ind w:left="567"/>
        <w:rPr>
          <w:rFonts w:ascii="Times" w:eastAsia="Malgun Gothic" w:hAnsi="Times" w:cs="Times"/>
          <w:sz w:val="20"/>
          <w:szCs w:val="20"/>
          <w:lang w:eastAsia="ko-KR"/>
        </w:rPr>
      </w:pPr>
      <w:r w:rsidRPr="007D39EE">
        <w:rPr>
          <w:rFonts w:ascii="Times" w:eastAsia="Malgun Gothic" w:hAnsi="Times" w:cs="Times"/>
          <w:sz w:val="20"/>
          <w:szCs w:val="20"/>
          <w:highlight w:val="green"/>
          <w:lang w:val="en-GB" w:eastAsia="ko-KR"/>
        </w:rPr>
        <w:t>Agreement:</w:t>
      </w:r>
    </w:p>
    <w:p w14:paraId="478B4ABD" w14:textId="77777777" w:rsidR="007D39EE" w:rsidRPr="007D39EE" w:rsidRDefault="007D39EE" w:rsidP="007D39EE">
      <w:pPr>
        <w:spacing w:after="0" w:line="240" w:lineRule="auto"/>
        <w:ind w:left="567"/>
        <w:rPr>
          <w:rFonts w:ascii="Times New Roman" w:eastAsia="Gulim" w:hAnsi="Times New Roman" w:cs="Times New Roman"/>
          <w:color w:val="000000"/>
          <w:sz w:val="20"/>
          <w:szCs w:val="20"/>
          <w:lang w:val="en-GB" w:eastAsia="ko-KR"/>
        </w:rPr>
      </w:pPr>
      <w:r w:rsidRPr="007D39EE">
        <w:rPr>
          <w:rFonts w:ascii="Times New Roman" w:eastAsia="Batang" w:hAnsi="Times New Roman" w:cs="Times New Roman"/>
          <w:color w:val="000000"/>
          <w:sz w:val="20"/>
          <w:szCs w:val="20"/>
          <w:lang w:val="en-GB" w:eastAsia="ko-KR"/>
        </w:rPr>
        <w:t xml:space="preserve">For an UL carrier without intra-cell guard bands when the parameter </w:t>
      </w:r>
      <w:r w:rsidRPr="007D39EE">
        <w:rPr>
          <w:rFonts w:ascii="Times New Roman" w:eastAsia="Batang" w:hAnsi="Times New Roman" w:cs="Times New Roman"/>
          <w:i/>
          <w:iCs/>
          <w:color w:val="000000"/>
          <w:sz w:val="20"/>
          <w:szCs w:val="20"/>
          <w:lang w:val="en-GB" w:eastAsia="ko-KR"/>
        </w:rPr>
        <w:t>useInterlacePUCCH-PUCCH</w:t>
      </w:r>
      <w:r w:rsidRPr="007D39EE">
        <w:rPr>
          <w:rFonts w:ascii="Times New Roman" w:eastAsia="Batang" w:hAnsi="Times New Roman" w:cs="Times New Roman"/>
          <w:color w:val="000000"/>
          <w:sz w:val="20"/>
          <w:szCs w:val="20"/>
          <w:lang w:val="en-GB" w:eastAsia="ko-KR"/>
        </w:rPr>
        <w:t xml:space="preserve"> is configured in any of </w:t>
      </w:r>
      <w:r w:rsidRPr="007D39EE">
        <w:rPr>
          <w:rFonts w:ascii="Times New Roman" w:eastAsia="Batang" w:hAnsi="Times New Roman" w:cs="Times New Roman"/>
          <w:i/>
          <w:iCs/>
          <w:color w:val="000000"/>
          <w:sz w:val="20"/>
          <w:szCs w:val="20"/>
          <w:lang w:val="en-GB" w:eastAsia="ko-KR"/>
        </w:rPr>
        <w:t>BWP-UplinkCommon</w:t>
      </w:r>
      <w:r w:rsidRPr="007D39EE">
        <w:rPr>
          <w:rFonts w:ascii="Times New Roman" w:eastAsia="Batang" w:hAnsi="Times New Roman" w:cs="Times New Roman"/>
          <w:color w:val="000000"/>
          <w:sz w:val="20"/>
          <w:szCs w:val="20"/>
          <w:lang w:val="en-GB" w:eastAsia="ko-KR"/>
        </w:rPr>
        <w:t xml:space="preserve"> and </w:t>
      </w:r>
      <w:r w:rsidRPr="007D39EE">
        <w:rPr>
          <w:rFonts w:ascii="Times New Roman" w:eastAsia="Batang" w:hAnsi="Times New Roman" w:cs="Times New Roman"/>
          <w:i/>
          <w:iCs/>
          <w:color w:val="000000"/>
          <w:sz w:val="20"/>
          <w:szCs w:val="20"/>
          <w:lang w:val="en-GB" w:eastAsia="ko-KR"/>
        </w:rPr>
        <w:t>BWP-UplinkDedicated</w:t>
      </w:r>
      <w:r w:rsidRPr="007D39EE">
        <w:rPr>
          <w:rFonts w:ascii="Times New Roman" w:eastAsia="Batang" w:hAnsi="Times New Roman" w:cs="Times New Roman"/>
          <w:color w:val="000000"/>
          <w:sz w:val="20"/>
          <w:szCs w:val="20"/>
          <w:lang w:val="en-GB" w:eastAsia="ko-KR"/>
        </w:rPr>
        <w:t>:</w:t>
      </w:r>
    </w:p>
    <w:p w14:paraId="45BF140B" w14:textId="3AE0E8AD" w:rsidR="007D39EE" w:rsidRPr="007D39EE" w:rsidRDefault="007D39EE" w:rsidP="007D39EE">
      <w:pPr>
        <w:numPr>
          <w:ilvl w:val="0"/>
          <w:numId w:val="39"/>
        </w:numPr>
        <w:tabs>
          <w:tab w:val="clear" w:pos="720"/>
          <w:tab w:val="num" w:pos="1287"/>
        </w:tabs>
        <w:spacing w:before="100" w:beforeAutospacing="1" w:after="0" w:line="252" w:lineRule="auto"/>
        <w:ind w:left="1287"/>
        <w:contextualSpacing/>
        <w:rPr>
          <w:rFonts w:ascii="Times New Roman" w:eastAsia="Batang" w:hAnsi="Times New Roman" w:cs="Times New Roman"/>
          <w:color w:val="000000"/>
          <w:sz w:val="20"/>
          <w:szCs w:val="20"/>
          <w:lang w:val="en-GB" w:eastAsia="ko-KR"/>
        </w:rPr>
      </w:pPr>
      <w:r w:rsidRPr="007D39EE">
        <w:rPr>
          <w:rFonts w:ascii="Times New Roman" w:eastAsia="Batang" w:hAnsi="Times New Roman" w:cs="Times New Roman"/>
          <w:color w:val="000000"/>
          <w:sz w:val="20"/>
          <w:szCs w:val="20"/>
          <w:lang w:val="en-GB" w:eastAsia="ko-KR"/>
        </w:rPr>
        <w:t xml:space="preserve">The UL carrier can be configured with </w:t>
      </w:r>
      <w:r w:rsidRPr="007D39EE">
        <w:rPr>
          <w:rFonts w:ascii="Times New Roman" w:eastAsia="Malgun Gothic" w:hAnsi="Times New Roman" w:cs="Times New Roman"/>
          <w:noProof/>
          <w:snapToGrid w:val="0"/>
          <w:color w:val="FF0000"/>
          <w:kern w:val="2"/>
          <w:position w:val="-14"/>
          <w:sz w:val="20"/>
          <w:lang w:val="en-GB" w:eastAsia="ko-KR"/>
        </w:rPr>
        <w:drawing>
          <wp:inline distT="0" distB="0" distL="0" distR="0" wp14:anchorId="7657A1CC" wp14:editId="0970790F">
            <wp:extent cx="7810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81050" cy="247650"/>
                    </a:xfrm>
                    <a:prstGeom prst="rect">
                      <a:avLst/>
                    </a:prstGeom>
                    <a:noFill/>
                    <a:ln>
                      <a:noFill/>
                    </a:ln>
                  </pic:spPr>
                </pic:pic>
              </a:graphicData>
            </a:graphic>
          </wp:inline>
        </w:drawing>
      </w:r>
      <w:r w:rsidRPr="007D39EE">
        <w:rPr>
          <w:rFonts w:ascii="Times New Roman" w:eastAsia="Batang" w:hAnsi="Times New Roman" w:cs="Times New Roman"/>
          <w:color w:val="000000"/>
          <w:sz w:val="20"/>
          <w:szCs w:val="20"/>
          <w:lang w:val="en-GB" w:eastAsia="ko-KR"/>
        </w:rPr>
        <w:fldChar w:fldCharType="begin"/>
      </w:r>
      <w:r w:rsidRPr="007D39EE">
        <w:rPr>
          <w:rFonts w:ascii="Times New Roman" w:eastAsia="Batang" w:hAnsi="Times New Roman" w:cs="Times New Roman"/>
          <w:color w:val="000000"/>
          <w:sz w:val="20"/>
          <w:szCs w:val="20"/>
          <w:lang w:val="en-GB" w:eastAsia="ko-KR"/>
        </w:rPr>
        <w:instrText xml:space="preserve"> QUOTE </w:instrText>
      </w:r>
      <m:oMath>
        <m:sSub>
          <m:sSubPr>
            <m:ctrlPr>
              <w:rPr>
                <w:rFonts w:ascii="Cambria Math" w:eastAsia="Gulim" w:hAnsi="Cambria Math" w:cs="Calibri"/>
                <w:color w:val="000000"/>
                <w:lang w:val="en-GB" w:eastAsia="ko-KR"/>
              </w:rPr>
            </m:ctrlPr>
          </m:sSubPr>
          <m:e>
            <m:r>
              <m:rPr>
                <m:sty m:val="p"/>
              </m:rPr>
              <w:rPr>
                <w:rFonts w:ascii="Cambria Math" w:eastAsia="Batang" w:hAnsi="Cambria Math" w:cs="Times New Roman"/>
                <w:color w:val="000000"/>
                <w:sz w:val="20"/>
                <w:szCs w:val="20"/>
                <w:lang w:val="en-GB" w:eastAsia="ko-KR"/>
              </w:rPr>
              <m:t>N</m:t>
            </m:r>
          </m:e>
          <m:sub>
            <m:r>
              <m:rPr>
                <m:nor/>
              </m:rPr>
              <w:rPr>
                <w:rFonts w:ascii="Times New Roman" w:eastAsia="Batang" w:hAnsi="Times New Roman" w:cs="Times New Roman"/>
                <w:color w:val="000000"/>
                <w:sz w:val="20"/>
                <w:szCs w:val="20"/>
                <w:lang w:val="en-GB" w:eastAsia="ko-KR"/>
              </w:rPr>
              <m:t>RB-set,UL</m:t>
            </m:r>
          </m:sub>
        </m:sSub>
        <m:r>
          <m:rPr>
            <m:sty m:val="p"/>
          </m:rPr>
          <w:rPr>
            <w:rFonts w:ascii="Cambria Math" w:eastAsia="Batang" w:hAnsi="Cambria Math" w:cs="Times New Roman"/>
            <w:color w:val="000000"/>
            <w:sz w:val="20"/>
            <w:szCs w:val="20"/>
            <w:lang w:val="en-GB" w:eastAsia="ko-KR"/>
          </w:rPr>
          <m:t>≥1</m:t>
        </m:r>
      </m:oMath>
      <w:r w:rsidRPr="007D39EE">
        <w:rPr>
          <w:rFonts w:ascii="Times New Roman" w:eastAsia="Batang" w:hAnsi="Times New Roman" w:cs="Times New Roman"/>
          <w:color w:val="000000"/>
          <w:sz w:val="20"/>
          <w:szCs w:val="20"/>
          <w:lang w:val="en-GB" w:eastAsia="ko-KR"/>
        </w:rPr>
        <w:instrText xml:space="preserve"> </w:instrText>
      </w:r>
      <w:r w:rsidRPr="007D39EE">
        <w:rPr>
          <w:rFonts w:ascii="Times New Roman" w:eastAsia="Batang" w:hAnsi="Times New Roman" w:cs="Times New Roman"/>
          <w:color w:val="000000"/>
          <w:sz w:val="20"/>
          <w:szCs w:val="20"/>
          <w:lang w:val="en-GB" w:eastAsia="ko-KR"/>
        </w:rPr>
        <w:fldChar w:fldCharType="end"/>
      </w:r>
      <w:r w:rsidRPr="007D39EE">
        <w:rPr>
          <w:rFonts w:ascii="Times New Roman" w:eastAsia="Batang" w:hAnsi="Times New Roman" w:cs="Times New Roman"/>
          <w:color w:val="000000"/>
          <w:sz w:val="20"/>
          <w:szCs w:val="20"/>
          <w:lang w:val="en-GB" w:eastAsia="ko-KR"/>
        </w:rPr>
        <w:t>non-overlapping RB set(s)</w:t>
      </w:r>
    </w:p>
    <w:p w14:paraId="4E70CC9A" w14:textId="77777777" w:rsidR="007D39EE" w:rsidRPr="007D39EE" w:rsidRDefault="007D39EE" w:rsidP="007D39EE">
      <w:pPr>
        <w:numPr>
          <w:ilvl w:val="0"/>
          <w:numId w:val="39"/>
        </w:numPr>
        <w:tabs>
          <w:tab w:val="clear" w:pos="720"/>
          <w:tab w:val="num" w:pos="1287"/>
        </w:tabs>
        <w:spacing w:before="100" w:beforeAutospacing="1" w:after="0" w:line="252" w:lineRule="auto"/>
        <w:ind w:left="1287"/>
        <w:contextualSpacing/>
        <w:rPr>
          <w:rFonts w:ascii="Times New Roman" w:eastAsia="Batang" w:hAnsi="Times New Roman" w:cs="Times New Roman"/>
          <w:color w:val="000000"/>
          <w:sz w:val="20"/>
          <w:szCs w:val="20"/>
          <w:lang w:val="en-GB" w:eastAsia="ko-KR"/>
        </w:rPr>
      </w:pPr>
      <w:r w:rsidRPr="007D39EE">
        <w:rPr>
          <w:rFonts w:ascii="Times New Roman" w:eastAsia="Batang" w:hAnsi="Times New Roman" w:cs="Times New Roman"/>
          <w:color w:val="000000"/>
          <w:sz w:val="20"/>
          <w:szCs w:val="20"/>
          <w:lang w:val="en-GB" w:eastAsia="ko-KR"/>
        </w:rPr>
        <w:t xml:space="preserve">For each RB set except for RB set 0, the starting CRB index is given by </w:t>
      </w:r>
      <w:r w:rsidRPr="007D39EE">
        <w:rPr>
          <w:rFonts w:ascii="Times New Roman" w:eastAsia="Batang" w:hAnsi="Times New Roman" w:cs="Times New Roman"/>
          <w:i/>
          <w:iCs/>
          <w:color w:val="000000"/>
          <w:sz w:val="20"/>
          <w:szCs w:val="20"/>
          <w:lang w:val="en-GB" w:eastAsia="ko-KR"/>
        </w:rPr>
        <w:t>startCRB-r16</w:t>
      </w:r>
    </w:p>
    <w:p w14:paraId="58660B48" w14:textId="07BEA9D8" w:rsidR="007D39EE" w:rsidRPr="007D39EE" w:rsidRDefault="007D39EE" w:rsidP="007D39EE">
      <w:pPr>
        <w:numPr>
          <w:ilvl w:val="1"/>
          <w:numId w:val="39"/>
        </w:numPr>
        <w:tabs>
          <w:tab w:val="clear" w:pos="1440"/>
          <w:tab w:val="num" w:pos="2007"/>
        </w:tabs>
        <w:spacing w:before="100" w:beforeAutospacing="1" w:after="0" w:line="252" w:lineRule="auto"/>
        <w:ind w:left="2007"/>
        <w:contextualSpacing/>
        <w:rPr>
          <w:rFonts w:ascii="Times New Roman" w:eastAsia="Batang" w:hAnsi="Times New Roman" w:cs="Times New Roman"/>
          <w:color w:val="000000"/>
          <w:sz w:val="20"/>
          <w:szCs w:val="20"/>
          <w:lang w:val="en-GB" w:eastAsia="ko-KR"/>
        </w:rPr>
      </w:pPr>
      <w:r w:rsidRPr="007D39EE">
        <w:rPr>
          <w:rFonts w:ascii="Times New Roman" w:eastAsia="Batang" w:hAnsi="Times New Roman" w:cs="Times New Roman"/>
          <w:color w:val="000000"/>
          <w:sz w:val="20"/>
          <w:szCs w:val="20"/>
          <w:lang w:val="en-GB" w:eastAsia="ko-KR"/>
        </w:rPr>
        <w:t xml:space="preserve">For RB set 0, the starting CRB index is given by </w:t>
      </w:r>
      <w:r w:rsidRPr="007D39EE">
        <w:rPr>
          <w:rFonts w:ascii="Times New Roman" w:eastAsia="Malgun Gothic" w:hAnsi="Times New Roman" w:cs="Times New Roman"/>
          <w:noProof/>
          <w:snapToGrid w:val="0"/>
          <w:color w:val="FF0000"/>
          <w:kern w:val="2"/>
          <w:position w:val="-14"/>
          <w:sz w:val="20"/>
          <w:lang w:val="en-GB" w:eastAsia="ko-KR"/>
        </w:rPr>
        <w:drawing>
          <wp:inline distT="0" distB="0" distL="0" distR="0" wp14:anchorId="1AE7043A" wp14:editId="3D552D7B">
            <wp:extent cx="447675" cy="257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 cy="257175"/>
                    </a:xfrm>
                    <a:prstGeom prst="rect">
                      <a:avLst/>
                    </a:prstGeom>
                    <a:noFill/>
                    <a:ln>
                      <a:noFill/>
                    </a:ln>
                  </pic:spPr>
                </pic:pic>
              </a:graphicData>
            </a:graphic>
          </wp:inline>
        </w:drawing>
      </w:r>
      <w:r w:rsidRPr="007D39EE">
        <w:rPr>
          <w:rFonts w:ascii="Times New Roman" w:eastAsia="Batang" w:hAnsi="Times New Roman" w:cs="Times New Roman"/>
          <w:color w:val="000000"/>
          <w:sz w:val="20"/>
          <w:szCs w:val="20"/>
          <w:lang w:val="en-GB" w:eastAsia="ko-KR"/>
        </w:rPr>
        <w:fldChar w:fldCharType="begin"/>
      </w:r>
      <w:r w:rsidRPr="007D39EE">
        <w:rPr>
          <w:rFonts w:ascii="Times New Roman" w:eastAsia="Batang" w:hAnsi="Times New Roman" w:cs="Times New Roman"/>
          <w:color w:val="000000"/>
          <w:sz w:val="20"/>
          <w:szCs w:val="20"/>
          <w:lang w:val="en-GB" w:eastAsia="ko-KR"/>
        </w:rPr>
        <w:instrText xml:space="preserve"> QUOTE </w:instrText>
      </w:r>
      <m:oMath>
        <m:sSubSup>
          <m:sSubSupPr>
            <m:ctrlPr>
              <w:rPr>
                <w:rFonts w:ascii="Cambria Math" w:eastAsia="Gulim" w:hAnsi="Cambria Math" w:cs="Calibri"/>
                <w:color w:val="000000"/>
                <w:lang w:val="en-GB" w:eastAsia="ko-KR"/>
              </w:rPr>
            </m:ctrlPr>
          </m:sSubSupPr>
          <m:e>
            <m:r>
              <m:rPr>
                <m:sty m:val="p"/>
              </m:rPr>
              <w:rPr>
                <w:rFonts w:ascii="Cambria Math" w:eastAsia="Batang" w:hAnsi="Cambria Math" w:cs="Times New Roman"/>
                <w:color w:val="000000"/>
                <w:sz w:val="20"/>
                <w:szCs w:val="20"/>
                <w:lang w:val="en-GB" w:eastAsia="ko-KR"/>
              </w:rPr>
              <m:t>N</m:t>
            </m:r>
          </m:e>
          <m:sub>
            <m:r>
              <m:rPr>
                <m:nor/>
              </m:rPr>
              <w:rPr>
                <w:rFonts w:ascii="Times New Roman" w:eastAsia="Batang" w:hAnsi="Times New Roman" w:cs="Times New Roman"/>
                <w:color w:val="000000"/>
                <w:sz w:val="20"/>
                <w:szCs w:val="20"/>
                <w:lang w:val="en-GB" w:eastAsia="ko-KR"/>
              </w:rPr>
              <m:t>grid,UL</m:t>
            </m:r>
          </m:sub>
          <m:sup>
            <m:r>
              <m:rPr>
                <m:nor/>
              </m:rPr>
              <w:rPr>
                <w:rFonts w:ascii="Times New Roman" w:eastAsia="Batang" w:hAnsi="Times New Roman" w:cs="Times New Roman"/>
                <w:color w:val="000000"/>
                <w:sz w:val="20"/>
                <w:szCs w:val="20"/>
                <w:lang w:val="en-GB" w:eastAsia="ko-KR"/>
              </w:rPr>
              <m:t>start</m:t>
            </m:r>
            <m:r>
              <m:rPr>
                <m:sty m:val="p"/>
              </m:rPr>
              <w:rPr>
                <w:rFonts w:ascii="Cambria Math" w:eastAsia="Batang" w:hAnsi="Cambria Math" w:cs="Times New Roman"/>
                <w:color w:val="000000"/>
                <w:sz w:val="20"/>
                <w:szCs w:val="20"/>
                <w:lang w:val="en-GB" w:eastAsia="ko-KR"/>
              </w:rPr>
              <m:t>,μ</m:t>
            </m:r>
          </m:sup>
        </m:sSubSup>
      </m:oMath>
      <w:r w:rsidRPr="007D39EE">
        <w:rPr>
          <w:rFonts w:ascii="Times New Roman" w:eastAsia="Batang" w:hAnsi="Times New Roman" w:cs="Times New Roman"/>
          <w:color w:val="000000"/>
          <w:sz w:val="20"/>
          <w:szCs w:val="20"/>
          <w:lang w:val="en-GB" w:eastAsia="ko-KR"/>
        </w:rPr>
        <w:instrText xml:space="preserve"> </w:instrText>
      </w:r>
      <w:r w:rsidRPr="007D39EE">
        <w:rPr>
          <w:rFonts w:ascii="Times New Roman" w:eastAsia="Batang" w:hAnsi="Times New Roman" w:cs="Times New Roman"/>
          <w:color w:val="000000"/>
          <w:sz w:val="20"/>
          <w:szCs w:val="20"/>
          <w:lang w:val="en-GB" w:eastAsia="ko-KR"/>
        </w:rPr>
        <w:fldChar w:fldCharType="end"/>
      </w:r>
    </w:p>
    <w:p w14:paraId="5DCBB31A" w14:textId="77777777" w:rsidR="007D39EE" w:rsidRPr="007D39EE" w:rsidRDefault="007D39EE" w:rsidP="007D39EE">
      <w:pPr>
        <w:numPr>
          <w:ilvl w:val="0"/>
          <w:numId w:val="39"/>
        </w:numPr>
        <w:tabs>
          <w:tab w:val="clear" w:pos="720"/>
          <w:tab w:val="num" w:pos="1287"/>
        </w:tabs>
        <w:spacing w:before="100" w:beforeAutospacing="1" w:after="0" w:line="252" w:lineRule="auto"/>
        <w:ind w:left="1287"/>
        <w:contextualSpacing/>
        <w:rPr>
          <w:rFonts w:ascii="Times New Roman" w:eastAsia="Batang" w:hAnsi="Times New Roman" w:cs="Times New Roman"/>
          <w:sz w:val="20"/>
          <w:szCs w:val="20"/>
          <w:lang w:val="en-GB" w:eastAsia="ko-KR"/>
        </w:rPr>
      </w:pPr>
      <w:r w:rsidRPr="007D39EE">
        <w:rPr>
          <w:rFonts w:ascii="Times New Roman" w:eastAsia="Batang" w:hAnsi="Times New Roman" w:cs="Times New Roman"/>
          <w:color w:val="000000"/>
          <w:sz w:val="20"/>
          <w:szCs w:val="20"/>
          <w:lang w:val="en-GB" w:eastAsia="ko-KR"/>
        </w:rPr>
        <w:t xml:space="preserve">The UE expects </w:t>
      </w:r>
      <w:r w:rsidRPr="007D39EE">
        <w:rPr>
          <w:rFonts w:ascii="Times New Roman" w:eastAsia="Batang" w:hAnsi="Times New Roman" w:cs="Times New Roman"/>
          <w:i/>
          <w:iCs/>
          <w:color w:val="000000"/>
          <w:sz w:val="20"/>
          <w:szCs w:val="20"/>
          <w:lang w:val="en-GB" w:eastAsia="ko-KR"/>
        </w:rPr>
        <w:t>nrofCRBs-r16</w:t>
      </w:r>
      <w:r w:rsidRPr="007D39EE">
        <w:rPr>
          <w:rFonts w:ascii="Times New Roman" w:eastAsia="Batang" w:hAnsi="Times New Roman" w:cs="Times New Roman"/>
          <w:color w:val="000000"/>
          <w:sz w:val="20"/>
          <w:szCs w:val="20"/>
          <w:lang w:val="en-GB" w:eastAsia="ko-KR"/>
        </w:rPr>
        <w:t xml:space="preserve"> </w:t>
      </w:r>
      <w:r w:rsidRPr="007D39EE">
        <w:rPr>
          <w:rFonts w:ascii="Times New Roman" w:eastAsia="Batang" w:hAnsi="Times New Roman" w:cs="Times New Roman"/>
          <w:sz w:val="20"/>
          <w:szCs w:val="20"/>
          <w:lang w:val="en-GB" w:eastAsia="ko-KR"/>
        </w:rPr>
        <w:t>set to 0 for all GBs between two adjacent RB sets within the UL carrier.</w:t>
      </w:r>
    </w:p>
    <w:p w14:paraId="6AA2E680" w14:textId="77777777" w:rsidR="007D39EE" w:rsidRPr="007D39EE" w:rsidRDefault="007D39EE" w:rsidP="007D39EE">
      <w:pPr>
        <w:numPr>
          <w:ilvl w:val="0"/>
          <w:numId w:val="39"/>
        </w:numPr>
        <w:tabs>
          <w:tab w:val="clear" w:pos="720"/>
          <w:tab w:val="num" w:pos="1287"/>
        </w:tabs>
        <w:spacing w:before="100" w:beforeAutospacing="1" w:after="0" w:line="252" w:lineRule="auto"/>
        <w:ind w:left="1287"/>
        <w:contextualSpacing/>
        <w:rPr>
          <w:rFonts w:ascii="Times New Roman" w:eastAsia="Batang" w:hAnsi="Times New Roman" w:cs="Times New Roman"/>
          <w:sz w:val="20"/>
          <w:szCs w:val="20"/>
          <w:lang w:val="en-GB" w:eastAsia="ko-KR"/>
        </w:rPr>
      </w:pPr>
      <w:r w:rsidRPr="007D39EE">
        <w:rPr>
          <w:rFonts w:ascii="Times New Roman" w:eastAsia="Batang" w:hAnsi="Times New Roman" w:cs="Times New Roman"/>
          <w:sz w:val="20"/>
          <w:szCs w:val="20"/>
          <w:lang w:val="en-GB" w:eastAsia="ko-KR"/>
        </w:rPr>
        <w:t>The UE expects N RBs contained in each interlace of each RB set, wherein 10 &lt;= N &lt;= 11.</w:t>
      </w:r>
    </w:p>
    <w:p w14:paraId="0671B896" w14:textId="77777777" w:rsidR="007D39EE" w:rsidRPr="007D39EE" w:rsidRDefault="007D39EE" w:rsidP="007D39EE">
      <w:pPr>
        <w:numPr>
          <w:ilvl w:val="1"/>
          <w:numId w:val="39"/>
        </w:numPr>
        <w:tabs>
          <w:tab w:val="clear" w:pos="1440"/>
          <w:tab w:val="num" w:pos="2007"/>
        </w:tabs>
        <w:spacing w:before="100" w:beforeAutospacing="1" w:after="0" w:line="252" w:lineRule="auto"/>
        <w:ind w:left="2007"/>
        <w:contextualSpacing/>
        <w:rPr>
          <w:rFonts w:ascii="Times New Roman" w:eastAsia="Batang" w:hAnsi="Times New Roman" w:cs="Times New Roman"/>
          <w:sz w:val="20"/>
          <w:szCs w:val="20"/>
          <w:lang w:val="en-GB" w:eastAsia="ko-KR"/>
        </w:rPr>
      </w:pPr>
      <w:r w:rsidRPr="007D39EE">
        <w:rPr>
          <w:rFonts w:ascii="Times New Roman" w:eastAsia="Batang" w:hAnsi="Times New Roman" w:cs="Times New Roman"/>
          <w:sz w:val="20"/>
          <w:szCs w:val="20"/>
          <w:lang w:val="en-GB" w:eastAsia="ko-KR"/>
        </w:rPr>
        <w:t>For 30 kHz SCS, the number of RBs within any RB set is between 50 and 55, and for 15 kHz SCS, the number of RBs within any RB set is between 100 and 110</w:t>
      </w:r>
    </w:p>
    <w:p w14:paraId="53C2FE2D" w14:textId="77777777" w:rsidR="007D39EE" w:rsidRPr="007D39EE" w:rsidRDefault="007D39EE" w:rsidP="007D39EE">
      <w:pPr>
        <w:numPr>
          <w:ilvl w:val="0"/>
          <w:numId w:val="39"/>
        </w:numPr>
        <w:tabs>
          <w:tab w:val="clear" w:pos="720"/>
          <w:tab w:val="num" w:pos="1287"/>
        </w:tabs>
        <w:spacing w:before="100" w:beforeAutospacing="1" w:after="0" w:line="252" w:lineRule="auto"/>
        <w:ind w:left="1287"/>
        <w:contextualSpacing/>
        <w:rPr>
          <w:rFonts w:ascii="Times New Roman" w:eastAsia="Batang" w:hAnsi="Times New Roman" w:cs="Times New Roman"/>
          <w:sz w:val="20"/>
          <w:szCs w:val="20"/>
          <w:lang w:val="en-GB" w:eastAsia="ko-KR"/>
        </w:rPr>
      </w:pPr>
      <w:r w:rsidRPr="007D39EE">
        <w:rPr>
          <w:rFonts w:ascii="Times New Roman" w:eastAsia="Batang" w:hAnsi="Times New Roman" w:cs="Times New Roman"/>
          <w:sz w:val="20"/>
          <w:szCs w:val="20"/>
          <w:lang w:val="en-GB" w:eastAsia="ko-KR"/>
        </w:rPr>
        <w:t>Note: This configuration may be used for the case where transmission only occurs in a BWP if LBT is successful in all RB sets within the BWP (from RAN1#99 agreement)</w:t>
      </w:r>
    </w:p>
    <w:p w14:paraId="7A9DDA36" w14:textId="77777777" w:rsidR="007D39EE" w:rsidRPr="007D39EE" w:rsidRDefault="007D39EE" w:rsidP="007D39EE">
      <w:pPr>
        <w:numPr>
          <w:ilvl w:val="0"/>
          <w:numId w:val="39"/>
        </w:numPr>
        <w:tabs>
          <w:tab w:val="clear" w:pos="720"/>
          <w:tab w:val="num" w:pos="1287"/>
        </w:tabs>
        <w:spacing w:before="100" w:beforeAutospacing="1" w:after="0" w:line="252" w:lineRule="auto"/>
        <w:ind w:left="1287"/>
        <w:contextualSpacing/>
        <w:rPr>
          <w:rFonts w:ascii="Times New Roman" w:eastAsia="Batang" w:hAnsi="Times New Roman" w:cs="Times New Roman"/>
          <w:sz w:val="20"/>
          <w:szCs w:val="20"/>
          <w:lang w:val="en-GB" w:eastAsia="ko-KR"/>
        </w:rPr>
      </w:pPr>
      <w:r w:rsidRPr="007D39EE">
        <w:rPr>
          <w:rFonts w:ascii="Times New Roman" w:eastAsia="Batang" w:hAnsi="Times New Roman" w:cs="Times New Roman"/>
          <w:sz w:val="20"/>
          <w:szCs w:val="20"/>
          <w:lang w:val="en-GB" w:eastAsia="ko-KR"/>
        </w:rPr>
        <w:t>Note: It’s up to gNB’s configuration to fulfill RAN4 requirement with  e.g., on maximum transmission bandwidth configuration, spectral emission mask, and so on.</w:t>
      </w:r>
    </w:p>
    <w:p w14:paraId="14C94FF7" w14:textId="77777777" w:rsidR="007D39EE" w:rsidRPr="007D39EE" w:rsidRDefault="007D39EE" w:rsidP="007D39EE">
      <w:pPr>
        <w:numPr>
          <w:ilvl w:val="0"/>
          <w:numId w:val="39"/>
        </w:numPr>
        <w:tabs>
          <w:tab w:val="clear" w:pos="720"/>
          <w:tab w:val="num" w:pos="1287"/>
        </w:tabs>
        <w:spacing w:after="0" w:line="252" w:lineRule="auto"/>
        <w:ind w:left="1287"/>
        <w:rPr>
          <w:rFonts w:ascii="Times New Roman" w:eastAsia="Batang" w:hAnsi="Times New Roman" w:cs="Times New Roman"/>
          <w:sz w:val="20"/>
          <w:szCs w:val="20"/>
          <w:lang w:val="en-GB" w:eastAsia="ko-KR"/>
        </w:rPr>
      </w:pPr>
      <w:r w:rsidRPr="007D39EE">
        <w:rPr>
          <w:rFonts w:ascii="Times New Roman" w:eastAsia="Batang" w:hAnsi="Times New Roman" w:cs="Times New Roman"/>
          <w:sz w:val="20"/>
          <w:szCs w:val="20"/>
          <w:lang w:val="en-GB" w:eastAsia="ko-KR"/>
        </w:rPr>
        <w:t>Note: In order to reuse existing PUCCH/PUSCH resource allocation mechanisms, this proposal applies to all supported carrier bandwidths except 10 MHz</w:t>
      </w:r>
    </w:p>
    <w:p w14:paraId="0A0D846F" w14:textId="77777777" w:rsidR="007D39EE" w:rsidRPr="007D39EE" w:rsidRDefault="007D39EE" w:rsidP="007D39EE">
      <w:pPr>
        <w:numPr>
          <w:ilvl w:val="0"/>
          <w:numId w:val="39"/>
        </w:numPr>
        <w:tabs>
          <w:tab w:val="clear" w:pos="720"/>
          <w:tab w:val="num" w:pos="1287"/>
        </w:tabs>
        <w:spacing w:after="0" w:line="252" w:lineRule="auto"/>
        <w:ind w:left="1287"/>
        <w:rPr>
          <w:rFonts w:ascii="Times New Roman" w:eastAsia="Batang" w:hAnsi="Times New Roman" w:cs="Times New Roman"/>
          <w:sz w:val="20"/>
          <w:szCs w:val="20"/>
          <w:lang w:val="en-GB" w:eastAsia="ko-KR"/>
        </w:rPr>
      </w:pPr>
      <w:r w:rsidRPr="007D39EE">
        <w:rPr>
          <w:rFonts w:ascii="Times New Roman" w:eastAsia="Batang" w:hAnsi="Times New Roman" w:cs="Times New Roman"/>
          <w:sz w:val="20"/>
          <w:szCs w:val="20"/>
          <w:lang w:val="en-GB" w:eastAsia="ko-KR"/>
        </w:rPr>
        <w:t>FFS: Whether BWP can be configured to be partially overlapping with a RB set</w:t>
      </w:r>
    </w:p>
    <w:p w14:paraId="1786CE52" w14:textId="77777777" w:rsidR="007D39EE" w:rsidRDefault="007D39EE" w:rsidP="005D7195">
      <w:pPr>
        <w:pStyle w:val="BodyText"/>
        <w:rPr>
          <w:lang w:val="en-GB"/>
        </w:rPr>
      </w:pPr>
    </w:p>
    <w:p w14:paraId="06700BC5" w14:textId="2DEC8366" w:rsidR="00E02C9F" w:rsidRDefault="008704D9" w:rsidP="005D7195">
      <w:pPr>
        <w:pStyle w:val="BodyText"/>
        <w:rPr>
          <w:lang w:val="en-GB"/>
        </w:rPr>
      </w:pPr>
      <w:r>
        <w:rPr>
          <w:lang w:val="en-GB"/>
        </w:rPr>
        <w:t>Two</w:t>
      </w:r>
      <w:r w:rsidR="00761708">
        <w:rPr>
          <w:lang w:val="en-GB"/>
        </w:rPr>
        <w:t xml:space="preserve"> remaining open issues are (1) </w:t>
      </w:r>
      <w:r w:rsidR="00D253E0">
        <w:rPr>
          <w:lang w:val="en-GB"/>
        </w:rPr>
        <w:t xml:space="preserve">signalling of </w:t>
      </w:r>
      <w:r w:rsidR="00833463">
        <w:rPr>
          <w:lang w:val="en-GB"/>
        </w:rPr>
        <w:t xml:space="preserve">“no guard bands” for </w:t>
      </w:r>
      <w:r w:rsidR="009A1698">
        <w:rPr>
          <w:lang w:val="en-GB"/>
        </w:rPr>
        <w:t>a 20 MHz carrier (single RB set),</w:t>
      </w:r>
      <w:r>
        <w:rPr>
          <w:lang w:val="en-GB"/>
        </w:rPr>
        <w:t xml:space="preserve"> and </w:t>
      </w:r>
      <w:r w:rsidR="00761708">
        <w:rPr>
          <w:lang w:val="en-GB"/>
        </w:rPr>
        <w:t>(</w:t>
      </w:r>
      <w:r>
        <w:rPr>
          <w:lang w:val="en-GB"/>
        </w:rPr>
        <w:t>2</w:t>
      </w:r>
      <w:r w:rsidR="00761708">
        <w:rPr>
          <w:lang w:val="en-GB"/>
        </w:rPr>
        <w:t>) the FFS about whether a BWP can be configured to be partially overlapping with an RB set.</w:t>
      </w:r>
    </w:p>
    <w:p w14:paraId="41422BB4" w14:textId="5DE82EFC" w:rsidR="00761708" w:rsidRDefault="00761708" w:rsidP="00761708">
      <w:pPr>
        <w:pStyle w:val="Heading2"/>
      </w:pPr>
      <w:r>
        <w:t>2.1</w:t>
      </w:r>
      <w:r>
        <w:tab/>
      </w:r>
      <w:r w:rsidR="009A1698">
        <w:t>Indication</w:t>
      </w:r>
      <w:r w:rsidR="00D253E0">
        <w:t xml:space="preserve"> of </w:t>
      </w:r>
      <w:r w:rsidR="00833463">
        <w:t>“No Guard Bands”</w:t>
      </w:r>
      <w:r w:rsidR="00D253E0">
        <w:t xml:space="preserve"> for </w:t>
      </w:r>
      <w:r w:rsidR="000F5CF0">
        <w:t>20 MHz Carriers</w:t>
      </w:r>
    </w:p>
    <w:p w14:paraId="76288753" w14:textId="5E95EB35" w:rsidR="00BF6BDB" w:rsidRDefault="00720877" w:rsidP="002D6E72">
      <w:pPr>
        <w:rPr>
          <w:rFonts w:ascii="Arial" w:eastAsiaTheme="minorEastAsia" w:hAnsi="Arial"/>
          <w:lang w:val="en-GB" w:eastAsia="zh-CN"/>
        </w:rPr>
      </w:pPr>
      <w:r>
        <w:rPr>
          <w:rFonts w:ascii="Arial" w:hAnsi="Arial"/>
          <w:lang w:val="en-GB" w:eastAsia="zh-CN"/>
        </w:rPr>
        <w:t>The</w:t>
      </w:r>
      <w:r w:rsidR="00BF6BDB">
        <w:rPr>
          <w:rFonts w:ascii="Arial" w:hAnsi="Arial"/>
          <w:lang w:val="en-GB" w:eastAsia="zh-CN"/>
        </w:rPr>
        <w:t xml:space="preserve"> above agreement says that</w:t>
      </w:r>
      <w:r w:rsidR="00833463">
        <w:rPr>
          <w:rFonts w:ascii="Arial" w:hAnsi="Arial"/>
          <w:lang w:val="en-GB" w:eastAsia="zh-CN"/>
        </w:rPr>
        <w:t xml:space="preserve"> </w:t>
      </w:r>
      <w:r w:rsidR="00BF6BDB">
        <w:rPr>
          <w:rFonts w:ascii="Arial" w:hAnsi="Arial"/>
          <w:lang w:val="en-GB" w:eastAsia="zh-CN"/>
        </w:rPr>
        <w:t xml:space="preserve">the UE can be configured with a single </w:t>
      </w:r>
      <w:r w:rsidR="0096283D">
        <w:rPr>
          <w:rFonts w:ascii="Arial" w:hAnsi="Arial"/>
          <w:lang w:val="en-GB" w:eastAsia="zh-CN"/>
        </w:rPr>
        <w:t xml:space="preserve">UL </w:t>
      </w:r>
      <w:r w:rsidR="00BF6BDB">
        <w:rPr>
          <w:rFonts w:ascii="Arial" w:hAnsi="Arial"/>
          <w:lang w:val="en-GB" w:eastAsia="zh-CN"/>
        </w:rPr>
        <w:t>RB set (</w:t>
      </w:r>
      <m:oMath>
        <m:sSub>
          <m:sSubPr>
            <m:ctrlPr>
              <w:rPr>
                <w:rFonts w:ascii="Cambria Math" w:hAnsi="Cambria Math"/>
                <w:i/>
                <w:lang w:val="en-GB" w:eastAsia="zh-CN"/>
              </w:rPr>
            </m:ctrlPr>
          </m:sSubPr>
          <m:e>
            <m:r>
              <w:rPr>
                <w:rFonts w:ascii="Cambria Math" w:hAnsi="Cambria Math"/>
                <w:lang w:val="en-GB" w:eastAsia="zh-CN"/>
              </w:rPr>
              <m:t>N</m:t>
            </m:r>
          </m:e>
          <m:sub>
            <m:r>
              <m:rPr>
                <m:nor/>
              </m:rPr>
              <w:rPr>
                <w:rFonts w:ascii="Cambria Math" w:hAnsi="Cambria Math"/>
                <w:lang w:val="en-GB" w:eastAsia="zh-CN"/>
              </w:rPr>
              <m:t>RB-set,UL</m:t>
            </m:r>
          </m:sub>
        </m:sSub>
        <m:r>
          <w:rPr>
            <w:rFonts w:ascii="Cambria Math" w:hAnsi="Cambria Math"/>
            <w:lang w:val="en-GB" w:eastAsia="zh-CN"/>
          </w:rPr>
          <m:t>=1</m:t>
        </m:r>
      </m:oMath>
      <w:r w:rsidR="00BF6BDB">
        <w:rPr>
          <w:rFonts w:ascii="Arial" w:eastAsiaTheme="minorEastAsia" w:hAnsi="Arial"/>
          <w:lang w:val="en-GB" w:eastAsia="zh-CN"/>
        </w:rPr>
        <w:t>) with index 0</w:t>
      </w:r>
      <w:r w:rsidR="000F5CF0">
        <w:rPr>
          <w:rFonts w:ascii="Arial" w:eastAsiaTheme="minorEastAsia" w:hAnsi="Arial"/>
          <w:lang w:val="en-GB" w:eastAsia="zh-CN"/>
        </w:rPr>
        <w:t xml:space="preserve"> which is </w:t>
      </w:r>
      <w:r w:rsidR="00C5236B">
        <w:rPr>
          <w:rFonts w:ascii="Arial" w:eastAsiaTheme="minorEastAsia" w:hAnsi="Arial"/>
          <w:lang w:val="en-GB" w:eastAsia="zh-CN"/>
        </w:rPr>
        <w:t>needed</w:t>
      </w:r>
      <w:r>
        <w:rPr>
          <w:rFonts w:ascii="Arial" w:eastAsiaTheme="minorEastAsia" w:hAnsi="Arial"/>
          <w:lang w:val="en-GB" w:eastAsia="zh-CN"/>
        </w:rPr>
        <w:t xml:space="preserve"> </w:t>
      </w:r>
      <w:r w:rsidR="00E02C9F">
        <w:rPr>
          <w:rFonts w:ascii="Arial" w:eastAsiaTheme="minorEastAsia" w:hAnsi="Arial"/>
          <w:lang w:val="en-GB" w:eastAsia="zh-CN"/>
        </w:rPr>
        <w:t xml:space="preserve">for </w:t>
      </w:r>
      <w:r>
        <w:rPr>
          <w:rFonts w:ascii="Arial" w:eastAsiaTheme="minorEastAsia" w:hAnsi="Arial"/>
          <w:lang w:val="en-GB" w:eastAsia="zh-CN"/>
        </w:rPr>
        <w:t>20 MHz carriers</w:t>
      </w:r>
      <w:r w:rsidR="00C5236B">
        <w:rPr>
          <w:rFonts w:ascii="Arial" w:eastAsiaTheme="minorEastAsia" w:hAnsi="Arial"/>
          <w:lang w:val="en-GB" w:eastAsia="zh-CN"/>
        </w:rPr>
        <w:t xml:space="preserve"> to be able to reuse the PUCCH/PUSCH resource </w:t>
      </w:r>
      <w:r w:rsidR="00C5236B">
        <w:rPr>
          <w:rFonts w:ascii="Arial" w:eastAsiaTheme="minorEastAsia" w:hAnsi="Arial"/>
          <w:lang w:val="en-GB" w:eastAsia="zh-CN"/>
        </w:rPr>
        <w:lastRenderedPageBreak/>
        <w:t>allocation mechanisms in the current spec</w:t>
      </w:r>
      <w:r>
        <w:rPr>
          <w:rFonts w:ascii="Arial" w:eastAsiaTheme="minorEastAsia" w:hAnsi="Arial"/>
          <w:lang w:val="en-GB" w:eastAsia="zh-CN"/>
        </w:rPr>
        <w:t xml:space="preserve">. For </w:t>
      </w:r>
      <w:r w:rsidR="000F5CF0">
        <w:rPr>
          <w:rFonts w:ascii="Arial" w:eastAsiaTheme="minorEastAsia" w:hAnsi="Arial"/>
          <w:lang w:val="en-GB" w:eastAsia="zh-CN"/>
        </w:rPr>
        <w:t>this case</w:t>
      </w:r>
      <w:r>
        <w:rPr>
          <w:rFonts w:ascii="Arial" w:hAnsi="Arial"/>
          <w:lang w:val="en-GB" w:eastAsia="zh-CN"/>
        </w:rPr>
        <w:t>, there are no guard bands that separate RB sets</w:t>
      </w:r>
      <w:r w:rsidR="000F5CF0">
        <w:rPr>
          <w:rFonts w:ascii="Arial" w:hAnsi="Arial"/>
          <w:lang w:val="en-GB" w:eastAsia="zh-CN"/>
        </w:rPr>
        <w:t xml:space="preserve"> since there is only 1 RB set </w:t>
      </w:r>
      <w:r w:rsidR="00BD0EA2">
        <w:rPr>
          <w:rFonts w:ascii="Arial" w:hAnsi="Arial"/>
          <w:lang w:val="en-GB" w:eastAsia="zh-CN"/>
        </w:rPr>
        <w:t xml:space="preserve">to </w:t>
      </w:r>
      <w:r w:rsidR="000F5CF0">
        <w:rPr>
          <w:rFonts w:ascii="Arial" w:hAnsi="Arial"/>
          <w:lang w:val="en-GB" w:eastAsia="zh-CN"/>
        </w:rPr>
        <w:t>start with.</w:t>
      </w:r>
      <w:r>
        <w:rPr>
          <w:rFonts w:ascii="Arial" w:hAnsi="Arial"/>
          <w:lang w:val="en-GB" w:eastAsia="zh-CN"/>
        </w:rPr>
        <w:t xml:space="preserve"> Since there are no guard bands, the parameters </w:t>
      </w:r>
      <w:r w:rsidR="00BF6BDB" w:rsidRPr="00BF6BDB">
        <w:rPr>
          <w:rFonts w:ascii="Arial" w:eastAsiaTheme="minorEastAsia" w:hAnsi="Arial"/>
          <w:i/>
          <w:iCs/>
          <w:lang w:val="en-GB" w:eastAsia="zh-CN"/>
        </w:rPr>
        <w:t>startCRB-r16</w:t>
      </w:r>
      <w:r w:rsidR="00BF6BDB">
        <w:rPr>
          <w:rFonts w:ascii="Arial" w:eastAsiaTheme="minorEastAsia" w:hAnsi="Arial"/>
          <w:lang w:val="en-GB" w:eastAsia="zh-CN"/>
        </w:rPr>
        <w:t xml:space="preserve"> and </w:t>
      </w:r>
      <w:r w:rsidR="00BF6BDB" w:rsidRPr="00195DA9">
        <w:rPr>
          <w:rFonts w:ascii="Arial" w:eastAsiaTheme="minorEastAsia" w:hAnsi="Arial"/>
          <w:i/>
          <w:iCs/>
          <w:lang w:val="en-GB" w:eastAsia="zh-CN"/>
        </w:rPr>
        <w:t>nrofCRBs-r16</w:t>
      </w:r>
      <w:r w:rsidR="00BF6BDB">
        <w:rPr>
          <w:rFonts w:ascii="Arial" w:eastAsiaTheme="minorEastAsia" w:hAnsi="Arial"/>
          <w:lang w:val="en-GB" w:eastAsia="zh-CN"/>
        </w:rPr>
        <w:t xml:space="preserve"> which are mandatory present in the </w:t>
      </w:r>
      <w:r w:rsidR="00BF6BDB" w:rsidRPr="00195DA9">
        <w:rPr>
          <w:rFonts w:ascii="Arial" w:eastAsiaTheme="minorEastAsia" w:hAnsi="Arial"/>
          <w:i/>
          <w:iCs/>
          <w:lang w:val="en-GB" w:eastAsia="zh-CN"/>
        </w:rPr>
        <w:t>intraCellGuardBand</w:t>
      </w:r>
      <w:r w:rsidR="00E97F4A">
        <w:rPr>
          <w:rFonts w:ascii="Arial" w:eastAsiaTheme="minorEastAsia" w:hAnsi="Arial"/>
          <w:i/>
          <w:iCs/>
          <w:lang w:val="en-GB" w:eastAsia="zh-CN"/>
        </w:rPr>
        <w:t>UL</w:t>
      </w:r>
      <w:r w:rsidR="00BF6BDB" w:rsidRPr="00195DA9">
        <w:rPr>
          <w:rFonts w:ascii="Arial" w:eastAsiaTheme="minorEastAsia" w:hAnsi="Arial"/>
          <w:i/>
          <w:iCs/>
          <w:lang w:val="en-GB" w:eastAsia="zh-CN"/>
        </w:rPr>
        <w:t>-r16</w:t>
      </w:r>
      <w:r w:rsidR="00E97F4A">
        <w:rPr>
          <w:rFonts w:ascii="Arial" w:eastAsiaTheme="minorEastAsia" w:hAnsi="Arial"/>
          <w:lang w:val="en-GB" w:eastAsia="zh-CN"/>
        </w:rPr>
        <w:t xml:space="preserve"> parameter</w:t>
      </w:r>
      <w:r w:rsidR="00BF6BDB">
        <w:rPr>
          <w:rFonts w:ascii="Arial" w:eastAsiaTheme="minorEastAsia" w:hAnsi="Arial"/>
          <w:lang w:val="en-GB" w:eastAsia="zh-CN"/>
        </w:rPr>
        <w:t xml:space="preserve"> are undefined. Hence, at present, the signalling of no guard bands</w:t>
      </w:r>
      <w:r>
        <w:rPr>
          <w:rFonts w:ascii="Arial" w:eastAsiaTheme="minorEastAsia" w:hAnsi="Arial"/>
          <w:lang w:val="en-GB" w:eastAsia="zh-CN"/>
        </w:rPr>
        <w:t xml:space="preserve"> for a </w:t>
      </w:r>
      <w:r w:rsidR="0096283D">
        <w:rPr>
          <w:rFonts w:ascii="Arial" w:eastAsiaTheme="minorEastAsia" w:hAnsi="Arial"/>
          <w:lang w:val="en-GB" w:eastAsia="zh-CN"/>
        </w:rPr>
        <w:t>20 MHz carrier (single RB set)</w:t>
      </w:r>
      <w:r>
        <w:rPr>
          <w:rFonts w:ascii="Arial" w:eastAsiaTheme="minorEastAsia" w:hAnsi="Arial"/>
          <w:lang w:val="en-GB" w:eastAsia="zh-CN"/>
        </w:rPr>
        <w:t xml:space="preserve"> does not work.</w:t>
      </w:r>
    </w:p>
    <w:p w14:paraId="3DD9A84C" w14:textId="2E0052A2" w:rsidR="00195DA9" w:rsidRPr="00F537EB" w:rsidRDefault="00195DA9" w:rsidP="00195DA9">
      <w:pPr>
        <w:pStyle w:val="PL"/>
      </w:pPr>
      <w:r w:rsidRPr="00F537EB">
        <w:t xml:space="preserve">intraCellGuardBandUL-r16           </w:t>
      </w:r>
      <w:r>
        <w:t xml:space="preserve"> </w:t>
      </w:r>
      <w:r w:rsidRPr="00F537EB">
        <w:t xml:space="preserve">IntraCellGuardBand-r16      </w:t>
      </w:r>
      <w:r>
        <w:tab/>
        <w:t xml:space="preserve"> </w:t>
      </w:r>
      <w:r w:rsidRPr="00F537EB">
        <w:t xml:space="preserve">    </w:t>
      </w:r>
      <w:r>
        <w:t xml:space="preserve">        </w:t>
      </w:r>
      <w:r w:rsidRPr="00F537EB">
        <w:t>OPTIONAL, -- Need M</w:t>
      </w:r>
    </w:p>
    <w:p w14:paraId="16E7D1B0" w14:textId="77777777" w:rsidR="00195DA9" w:rsidRPr="00F537EB" w:rsidRDefault="00195DA9" w:rsidP="00195DA9">
      <w:pPr>
        <w:pStyle w:val="PL"/>
      </w:pPr>
    </w:p>
    <w:p w14:paraId="56640DC0" w14:textId="263AC2DC" w:rsidR="00195DA9" w:rsidRPr="00F537EB" w:rsidRDefault="00195DA9" w:rsidP="00195DA9">
      <w:pPr>
        <w:pStyle w:val="PL"/>
      </w:pPr>
      <w:r w:rsidRPr="00F537EB">
        <w:t>IntraCellGuardBand-r16 ::=          SEQUENCE (SIZE (1..ffsValue)) OF GuardBand-r16</w:t>
      </w:r>
    </w:p>
    <w:p w14:paraId="57705D29" w14:textId="77777777" w:rsidR="00195DA9" w:rsidRPr="00F537EB" w:rsidRDefault="00195DA9" w:rsidP="00195DA9">
      <w:pPr>
        <w:pStyle w:val="PL"/>
      </w:pPr>
    </w:p>
    <w:p w14:paraId="0CB2C2A4" w14:textId="77777777" w:rsidR="00195DA9" w:rsidRPr="00F537EB" w:rsidRDefault="00195DA9" w:rsidP="00195DA9">
      <w:pPr>
        <w:pStyle w:val="PL"/>
      </w:pPr>
      <w:r w:rsidRPr="00F537EB">
        <w:t>GuardBand-r16       ::=   SEQUENCE {</w:t>
      </w:r>
    </w:p>
    <w:p w14:paraId="40E1D1C3" w14:textId="685CEA1A" w:rsidR="00195DA9" w:rsidRPr="00F537EB" w:rsidRDefault="00195DA9" w:rsidP="00195DA9">
      <w:pPr>
        <w:pStyle w:val="PL"/>
      </w:pPr>
      <w:r w:rsidRPr="00F537EB">
        <w:t xml:space="preserve">     startCRB-r16             INTEGER (0..ffsValue),</w:t>
      </w:r>
    </w:p>
    <w:p w14:paraId="32390AEB" w14:textId="77777777" w:rsidR="00195DA9" w:rsidRPr="00F537EB" w:rsidRDefault="00195DA9" w:rsidP="00195DA9">
      <w:pPr>
        <w:pStyle w:val="PL"/>
      </w:pPr>
      <w:r w:rsidRPr="00F537EB">
        <w:t xml:space="preserve">     nrofCRBs-r16             INTEGER (1..ffsValue)</w:t>
      </w:r>
    </w:p>
    <w:p w14:paraId="5164B47C" w14:textId="77777777" w:rsidR="00195DA9" w:rsidRPr="00F537EB" w:rsidRDefault="00195DA9" w:rsidP="00195DA9">
      <w:pPr>
        <w:pStyle w:val="PL"/>
      </w:pPr>
      <w:r w:rsidRPr="00F537EB">
        <w:t>}</w:t>
      </w:r>
    </w:p>
    <w:p w14:paraId="735055B0" w14:textId="1444055C" w:rsidR="00195DA9" w:rsidRDefault="00195DA9" w:rsidP="002D6E72">
      <w:pPr>
        <w:rPr>
          <w:rFonts w:ascii="Arial" w:eastAsiaTheme="minorEastAsia" w:hAnsi="Arial"/>
          <w:lang w:val="en-GB" w:eastAsia="zh-CN"/>
        </w:rPr>
      </w:pPr>
    </w:p>
    <w:p w14:paraId="6250A259" w14:textId="13B1FFC4" w:rsidR="00720877" w:rsidRDefault="00720877" w:rsidP="00720877">
      <w:pPr>
        <w:pStyle w:val="Observation"/>
        <w:rPr>
          <w:lang w:val="en-GB"/>
        </w:rPr>
      </w:pPr>
      <w:bookmarkStart w:id="2" w:name="_Toc40110627"/>
      <w:bookmarkStart w:id="3" w:name="_Toc40118016"/>
      <w:bookmarkStart w:id="4" w:name="_Toc40462444"/>
      <w:bookmarkStart w:id="5" w:name="_Toc40462495"/>
      <w:r>
        <w:rPr>
          <w:lang w:val="en-GB"/>
        </w:rPr>
        <w:t xml:space="preserve">For an UL carrier configured with a </w:t>
      </w:r>
      <w:r w:rsidR="0096283D">
        <w:rPr>
          <w:lang w:val="en-GB"/>
        </w:rPr>
        <w:t>20 MHz carrier (</w:t>
      </w:r>
      <w:r>
        <w:rPr>
          <w:lang w:val="en-GB"/>
        </w:rPr>
        <w:t>single RB set</w:t>
      </w:r>
      <w:r w:rsidR="0096283D">
        <w:rPr>
          <w:lang w:val="en-GB"/>
        </w:rPr>
        <w:t>)</w:t>
      </w:r>
      <w:r>
        <w:rPr>
          <w:lang w:val="en-GB"/>
        </w:rPr>
        <w:t xml:space="preserve">, current signaling of “no guard bands” using </w:t>
      </w:r>
      <w:r w:rsidRPr="004D54DF">
        <w:rPr>
          <w:i/>
          <w:iCs/>
          <w:lang w:val="en-GB"/>
        </w:rPr>
        <w:t>nrofCRBs-r16</w:t>
      </w:r>
      <w:r>
        <w:rPr>
          <w:lang w:val="en-GB"/>
        </w:rPr>
        <w:t xml:space="preserve"> = 0 </w:t>
      </w:r>
      <w:r w:rsidR="000F5CF0">
        <w:rPr>
          <w:lang w:val="en-GB"/>
        </w:rPr>
        <w:t xml:space="preserve">within </w:t>
      </w:r>
      <w:r w:rsidR="000F5CF0" w:rsidRPr="000F5CF0">
        <w:rPr>
          <w:i/>
          <w:iCs/>
          <w:lang w:val="en-GB"/>
        </w:rPr>
        <w:t>intraCellGuardBandUL-r16</w:t>
      </w:r>
      <w:r w:rsidR="000F5CF0">
        <w:rPr>
          <w:lang w:val="en-GB"/>
        </w:rPr>
        <w:t xml:space="preserve"> </w:t>
      </w:r>
      <w:r>
        <w:rPr>
          <w:lang w:val="en-GB"/>
        </w:rPr>
        <w:t>does not work</w:t>
      </w:r>
      <w:bookmarkEnd w:id="2"/>
      <w:bookmarkEnd w:id="3"/>
      <w:r w:rsidR="0096283D">
        <w:rPr>
          <w:lang w:val="en-GB"/>
        </w:rPr>
        <w:t>.</w:t>
      </w:r>
      <w:bookmarkEnd w:id="4"/>
      <w:bookmarkEnd w:id="5"/>
      <w:r>
        <w:rPr>
          <w:lang w:val="en-GB"/>
        </w:rPr>
        <w:t xml:space="preserve"> </w:t>
      </w:r>
    </w:p>
    <w:p w14:paraId="77BF96C0" w14:textId="2CE4102B" w:rsidR="000F5CF0" w:rsidRDefault="000F5CF0" w:rsidP="002D6E72">
      <w:pPr>
        <w:rPr>
          <w:rFonts w:ascii="Arial" w:eastAsiaTheme="minorEastAsia" w:hAnsi="Arial" w:cs="Arial"/>
          <w:lang w:val="en-GB"/>
        </w:rPr>
      </w:pPr>
      <w:r>
        <w:rPr>
          <w:rFonts w:ascii="Arial" w:eastAsiaTheme="minorEastAsia" w:hAnsi="Arial"/>
          <w:lang w:val="en-GB" w:eastAsia="zh-CN"/>
        </w:rPr>
        <w:t xml:space="preserve">A simple solution </w:t>
      </w:r>
      <w:r w:rsidR="00C5236B">
        <w:rPr>
          <w:rFonts w:ascii="Arial" w:eastAsiaTheme="minorEastAsia" w:hAnsi="Arial"/>
          <w:lang w:val="en-GB" w:eastAsia="zh-CN"/>
        </w:rPr>
        <w:t xml:space="preserve">to this issue </w:t>
      </w:r>
      <w:r>
        <w:rPr>
          <w:rFonts w:ascii="Arial" w:eastAsiaTheme="minorEastAsia" w:hAnsi="Arial"/>
          <w:lang w:val="en-GB" w:eastAsia="zh-CN"/>
        </w:rPr>
        <w:t xml:space="preserve">is based on the observation that when the parameter </w:t>
      </w:r>
      <w:r w:rsidRPr="00BD0EA2">
        <w:rPr>
          <w:rFonts w:ascii="Arial" w:eastAsiaTheme="minorEastAsia" w:hAnsi="Arial"/>
          <w:i/>
          <w:iCs/>
          <w:lang w:val="en-GB" w:eastAsia="zh-CN"/>
        </w:rPr>
        <w:t>intraCellGuardBandUL-r16</w:t>
      </w:r>
      <w:r>
        <w:rPr>
          <w:rFonts w:ascii="Arial" w:eastAsiaTheme="minorEastAsia" w:hAnsi="Arial"/>
          <w:lang w:val="en-GB" w:eastAsia="zh-CN"/>
        </w:rPr>
        <w:t xml:space="preserve"> is not provided, the UE should assume the default configuration defined in 38.101-1</w:t>
      </w:r>
      <w:r w:rsidR="00BD0EA2">
        <w:rPr>
          <w:rFonts w:ascii="Arial" w:eastAsiaTheme="minorEastAsia" w:hAnsi="Arial"/>
          <w:lang w:val="en-GB" w:eastAsia="zh-CN"/>
        </w:rPr>
        <w:t xml:space="preserve"> </w:t>
      </w:r>
      <w:r w:rsidR="00C5236B">
        <w:rPr>
          <w:rFonts w:ascii="Arial" w:eastAsiaTheme="minorEastAsia" w:hAnsi="Arial"/>
          <w:lang w:val="en-GB" w:eastAsia="zh-CN"/>
        </w:rPr>
        <w:t>based on the carrier bandwidth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grid,UL</m:t>
            </m:r>
          </m:sub>
          <m:sup>
            <m:r>
              <m:rPr>
                <m:nor/>
              </m:rPr>
              <w:rPr>
                <w:rFonts w:ascii="Cambria Math" w:eastAsia="Malgun Gothic" w:hAnsi="Cambria Math" w:cs="Times New Roman"/>
                <w:sz w:val="20"/>
                <w:szCs w:val="20"/>
                <w:lang w:val="en-GB"/>
              </w:rPr>
              <m:t>size</m:t>
            </m:r>
            <m:r>
              <w:rPr>
                <w:rFonts w:ascii="Cambria Math" w:eastAsia="Malgun Gothic" w:hAnsi="Cambria Math" w:cs="Times New Roman"/>
                <w:sz w:val="20"/>
                <w:szCs w:val="20"/>
                <w:lang w:val="en-GB"/>
              </w:rPr>
              <m:t>,μ</m:t>
            </m:r>
          </m:sup>
        </m:sSubSup>
      </m:oMath>
      <w:r w:rsidR="00C5236B">
        <w:rPr>
          <w:rFonts w:ascii="Arial" w:eastAsiaTheme="minorEastAsia" w:hAnsi="Arial"/>
          <w:lang w:val="en-GB" w:eastAsia="zh-CN"/>
        </w:rPr>
        <w:t>) and the numerology (</w:t>
      </w:r>
      <m:oMath>
        <m:r>
          <w:rPr>
            <w:rFonts w:ascii="Cambria Math" w:eastAsiaTheme="minorEastAsia" w:hAnsi="Cambria Math"/>
            <w:lang w:val="en-GB" w:eastAsia="zh-CN"/>
          </w:rPr>
          <m:t>μ</m:t>
        </m:r>
      </m:oMath>
      <w:r w:rsidR="00C5236B">
        <w:rPr>
          <w:rFonts w:ascii="Arial" w:eastAsiaTheme="minorEastAsia" w:hAnsi="Arial"/>
          <w:lang w:val="en-GB" w:eastAsia="zh-CN"/>
        </w:rPr>
        <w:t xml:space="preserve">) </w:t>
      </w:r>
      <w:r w:rsidR="00BD0EA2">
        <w:rPr>
          <w:rFonts w:ascii="Arial" w:eastAsiaTheme="minorEastAsia" w:hAnsi="Arial"/>
          <w:lang w:val="en-GB" w:eastAsia="zh-CN"/>
        </w:rPr>
        <w:t>as agreed previously</w:t>
      </w:r>
      <w:r>
        <w:rPr>
          <w:rFonts w:ascii="Arial" w:eastAsiaTheme="minorEastAsia" w:hAnsi="Arial"/>
          <w:lang w:val="en-GB" w:eastAsia="zh-CN"/>
        </w:rPr>
        <w:t xml:space="preserve">. The default configuration for </w:t>
      </w:r>
      <w:r w:rsidR="00BD0EA2">
        <w:rPr>
          <w:rFonts w:ascii="Arial" w:eastAsiaTheme="minorEastAsia" w:hAnsi="Arial"/>
          <w:lang w:val="en-GB" w:eastAsia="zh-CN"/>
        </w:rPr>
        <w:t xml:space="preserve">a </w:t>
      </w:r>
      <w:r>
        <w:rPr>
          <w:rFonts w:ascii="Arial" w:eastAsiaTheme="minorEastAsia" w:hAnsi="Arial"/>
          <w:lang w:val="en-GB" w:eastAsia="zh-CN"/>
        </w:rPr>
        <w:t>20 MHz carrier is clearly “no guard bands.” When interlacing is configured, PUCCH/PUSCH resource allocation relies on the definition of the RB sets and RB set indices</w:t>
      </w:r>
      <w:r w:rsidR="009A1698">
        <w:rPr>
          <w:rFonts w:ascii="Arial" w:eastAsiaTheme="minorEastAsia" w:hAnsi="Arial"/>
          <w:lang w:val="en-GB" w:eastAsia="zh-CN"/>
        </w:rPr>
        <w:t xml:space="preserve"> for all carrier bandwidths</w:t>
      </w:r>
      <w:r>
        <w:rPr>
          <w:rFonts w:ascii="Arial" w:eastAsiaTheme="minorEastAsia" w:hAnsi="Arial"/>
          <w:lang w:val="en-GB" w:eastAsia="zh-CN"/>
        </w:rPr>
        <w:t xml:space="preserve">. </w:t>
      </w:r>
      <w:r w:rsidR="009A1698">
        <w:rPr>
          <w:rFonts w:ascii="Arial" w:eastAsiaTheme="minorEastAsia" w:hAnsi="Arial"/>
          <w:lang w:val="en-GB" w:eastAsia="zh-CN"/>
        </w:rPr>
        <w:t xml:space="preserve">Furthermore, the rule for RB set allocation for PUSCH scheduled by DCI 0_0 in a CSS  (38.214, Section 6.1.2.2.3) relies on the determining an “intersection” between a DL RB set and an UL RB set. </w:t>
      </w:r>
      <w:r>
        <w:rPr>
          <w:rFonts w:ascii="Arial" w:eastAsiaTheme="minorEastAsia" w:hAnsi="Arial"/>
          <w:lang w:val="en-GB" w:eastAsia="zh-CN"/>
        </w:rPr>
        <w:t xml:space="preserve">Hence, to reuse these mechanisms, all that is needed is to clarify that when </w:t>
      </w:r>
      <w:r w:rsidRPr="000F5CF0">
        <w:rPr>
          <w:rFonts w:ascii="Arial" w:hAnsi="Arial" w:cs="Arial"/>
          <w:i/>
          <w:iCs/>
          <w:lang w:val="en-GB"/>
        </w:rPr>
        <w:t>intraCellGuardBandUL-r16</w:t>
      </w:r>
      <w:r w:rsidRPr="000F5CF0">
        <w:rPr>
          <w:rFonts w:ascii="Arial" w:hAnsi="Arial" w:cs="Arial"/>
          <w:lang w:val="en-GB"/>
        </w:rPr>
        <w:t xml:space="preserve"> </w:t>
      </w:r>
      <w:r w:rsidR="009A1698">
        <w:rPr>
          <w:rFonts w:ascii="Arial" w:hAnsi="Arial" w:cs="Arial"/>
          <w:lang w:val="en-GB"/>
        </w:rPr>
        <w:t xml:space="preserve">or </w:t>
      </w:r>
      <w:r w:rsidR="009A1698" w:rsidRPr="000F5CF0">
        <w:rPr>
          <w:rFonts w:ascii="Arial" w:hAnsi="Arial" w:cs="Arial"/>
          <w:i/>
          <w:iCs/>
          <w:lang w:val="en-GB"/>
        </w:rPr>
        <w:t>intraCellGuardBand</w:t>
      </w:r>
      <w:r w:rsidR="009A1698">
        <w:rPr>
          <w:rFonts w:ascii="Arial" w:hAnsi="Arial" w:cs="Arial"/>
          <w:i/>
          <w:iCs/>
          <w:lang w:val="en-GB"/>
        </w:rPr>
        <w:t>D</w:t>
      </w:r>
      <w:r w:rsidR="009A1698" w:rsidRPr="000F5CF0">
        <w:rPr>
          <w:rFonts w:ascii="Arial" w:hAnsi="Arial" w:cs="Arial"/>
          <w:i/>
          <w:iCs/>
          <w:lang w:val="en-GB"/>
        </w:rPr>
        <w:t>L-r16</w:t>
      </w:r>
      <w:r w:rsidR="009A1698" w:rsidRPr="000F5CF0">
        <w:rPr>
          <w:rFonts w:ascii="Arial" w:hAnsi="Arial" w:cs="Arial"/>
          <w:lang w:val="en-GB"/>
        </w:rPr>
        <w:t xml:space="preserve"> </w:t>
      </w:r>
      <w:r w:rsidRPr="000F5CF0">
        <w:rPr>
          <w:rFonts w:ascii="Arial" w:hAnsi="Arial" w:cs="Arial"/>
          <w:lang w:val="en-GB"/>
        </w:rPr>
        <w:t>is ab</w:t>
      </w:r>
      <w:r>
        <w:rPr>
          <w:rFonts w:ascii="Arial" w:hAnsi="Arial" w:cs="Arial"/>
          <w:lang w:val="en-GB"/>
        </w:rPr>
        <w:t xml:space="preserve">sent AND the default configuration within 38.101-1 is </w:t>
      </w:r>
      <w:r w:rsidR="00BD0EA2">
        <w:rPr>
          <w:rFonts w:ascii="Arial" w:hAnsi="Arial" w:cs="Arial"/>
          <w:lang w:val="en-GB"/>
        </w:rPr>
        <w:t>“</w:t>
      </w:r>
      <w:r>
        <w:rPr>
          <w:rFonts w:ascii="Arial" w:hAnsi="Arial" w:cs="Arial"/>
          <w:lang w:val="en-GB"/>
        </w:rPr>
        <w:t>no guard bands</w:t>
      </w:r>
      <w:r w:rsidR="00BD0EA2">
        <w:rPr>
          <w:rFonts w:ascii="Arial" w:hAnsi="Arial" w:cs="Arial"/>
          <w:lang w:val="en-GB"/>
        </w:rPr>
        <w:t>”</w:t>
      </w:r>
      <w:r>
        <w:rPr>
          <w:rFonts w:ascii="Arial" w:hAnsi="Arial" w:cs="Arial"/>
          <w:lang w:val="en-GB"/>
        </w:rPr>
        <w:t xml:space="preserve"> based on the configured carrier bandwidth, then </w:t>
      </w:r>
      <m:oMath>
        <m:sSub>
          <m:sSubPr>
            <m:ctrlPr>
              <w:rPr>
                <w:rFonts w:ascii="Cambria Math" w:hAnsi="Cambria Math" w:cs="Arial"/>
                <w:i/>
                <w:lang w:val="en-GB"/>
              </w:rPr>
            </m:ctrlPr>
          </m:sSubPr>
          <m:e>
            <m:r>
              <w:rPr>
                <w:rFonts w:ascii="Cambria Math" w:hAnsi="Cambria Math" w:cs="Arial"/>
                <w:lang w:val="en-GB"/>
              </w:rPr>
              <m:t>N</m:t>
            </m:r>
          </m:e>
          <m:sub>
            <m:r>
              <m:rPr>
                <m:nor/>
              </m:rPr>
              <w:rPr>
                <w:rFonts w:ascii="Cambria Math" w:hAnsi="Cambria Math" w:cs="Arial"/>
                <w:lang w:val="en-GB"/>
              </w:rPr>
              <m:t>RB-set,UL</m:t>
            </m:r>
          </m:sub>
        </m:sSub>
        <m:r>
          <w:rPr>
            <w:rFonts w:ascii="Cambria Math" w:hAnsi="Cambria Math" w:cs="Arial"/>
            <w:lang w:val="en-GB"/>
          </w:rPr>
          <m:t>=1</m:t>
        </m:r>
      </m:oMath>
      <w:r w:rsidR="009A1698">
        <w:rPr>
          <w:rFonts w:ascii="Arial" w:eastAsiaTheme="minorEastAsia" w:hAnsi="Arial" w:cs="Arial"/>
          <w:lang w:val="en-GB"/>
        </w:rPr>
        <w:t xml:space="preserve">. Furthermore, when interlacing is configure in the UL, it is needed to define an </w:t>
      </w:r>
      <w:r>
        <w:rPr>
          <w:rFonts w:ascii="Arial" w:eastAsiaTheme="minorEastAsia" w:hAnsi="Arial" w:cs="Arial"/>
          <w:lang w:val="en-GB"/>
        </w:rPr>
        <w:t>RB set index</w:t>
      </w:r>
      <w:r w:rsidR="009A1698">
        <w:rPr>
          <w:rFonts w:ascii="Arial" w:eastAsiaTheme="minorEastAsia" w:hAnsi="Arial" w:cs="Arial"/>
          <w:lang w:val="en-GB"/>
        </w:rPr>
        <w:t xml:space="preserve">. Both within the carrier and within a BWP, clearly the index should be </w:t>
      </w:r>
      <w:r w:rsidR="00BD0EA2" w:rsidRPr="00BD0EA2">
        <w:rPr>
          <w:rFonts w:ascii="Arial" w:eastAsiaTheme="minorEastAsia" w:hAnsi="Arial" w:cs="Arial"/>
          <w:i/>
          <w:iCs/>
          <w:lang w:val="en-GB"/>
        </w:rPr>
        <w:t>s</w:t>
      </w:r>
      <w:r w:rsidR="00BD0EA2">
        <w:rPr>
          <w:rFonts w:ascii="Arial" w:eastAsiaTheme="minorEastAsia" w:hAnsi="Arial" w:cs="Arial"/>
          <w:lang w:val="en-GB"/>
        </w:rPr>
        <w:t xml:space="preserve">0 = </w:t>
      </w:r>
      <w:r w:rsidR="00BD0EA2" w:rsidRPr="00BD0EA2">
        <w:rPr>
          <w:rFonts w:ascii="Arial" w:eastAsiaTheme="minorEastAsia" w:hAnsi="Arial" w:cs="Arial"/>
          <w:i/>
          <w:iCs/>
          <w:lang w:val="en-GB"/>
        </w:rPr>
        <w:t>s</w:t>
      </w:r>
      <w:r w:rsidR="00BD0EA2">
        <w:rPr>
          <w:rFonts w:ascii="Arial" w:eastAsiaTheme="minorEastAsia" w:hAnsi="Arial" w:cs="Arial"/>
          <w:lang w:val="en-GB"/>
        </w:rPr>
        <w:t>1 = 0.</w:t>
      </w:r>
    </w:p>
    <w:p w14:paraId="1C23E024" w14:textId="366A689A" w:rsidR="00BD0EA2" w:rsidRDefault="00BD0EA2" w:rsidP="002D6E72">
      <w:pPr>
        <w:rPr>
          <w:rFonts w:ascii="Arial" w:hAnsi="Arial" w:cs="Arial"/>
          <w:lang w:val="en-GB"/>
        </w:rPr>
      </w:pPr>
      <w:r>
        <w:rPr>
          <w:rFonts w:ascii="Arial" w:eastAsiaTheme="minorEastAsia" w:hAnsi="Arial" w:cs="Arial"/>
          <w:lang w:val="en-GB"/>
        </w:rPr>
        <w:t xml:space="preserve">We emphasize that for carriers with bandwidth greater than 20 MHz, the mechanism to indicate “no guard bands” is still to indicate </w:t>
      </w:r>
      <w:r w:rsidRPr="00195DA9">
        <w:rPr>
          <w:rFonts w:ascii="Arial" w:eastAsiaTheme="minorEastAsia" w:hAnsi="Arial"/>
          <w:i/>
          <w:iCs/>
          <w:lang w:val="en-GB" w:eastAsia="zh-CN"/>
        </w:rPr>
        <w:t>nrofCRBs-r16</w:t>
      </w:r>
      <w:r>
        <w:rPr>
          <w:rFonts w:ascii="Arial" w:eastAsiaTheme="minorEastAsia" w:hAnsi="Arial"/>
          <w:i/>
          <w:iCs/>
          <w:lang w:val="en-GB" w:eastAsia="zh-CN"/>
        </w:rPr>
        <w:t xml:space="preserve"> = 0</w:t>
      </w:r>
      <w:r>
        <w:rPr>
          <w:rFonts w:ascii="Arial" w:eastAsiaTheme="minorEastAsia" w:hAnsi="Arial"/>
          <w:lang w:val="en-GB" w:eastAsia="zh-CN"/>
        </w:rPr>
        <w:t xml:space="preserve"> </w:t>
      </w:r>
      <w:r w:rsidRPr="00BD0EA2">
        <w:rPr>
          <w:rFonts w:ascii="Arial" w:eastAsia="Batang" w:hAnsi="Arial" w:cs="Arial"/>
          <w:color w:val="000000"/>
          <w:lang w:val="en-GB" w:eastAsia="ko-KR"/>
        </w:rPr>
        <w:t xml:space="preserve">within </w:t>
      </w:r>
      <w:r>
        <w:rPr>
          <w:rFonts w:ascii="Arial" w:hAnsi="Arial" w:cs="Arial"/>
          <w:lang w:val="en-GB"/>
        </w:rPr>
        <w:t>as in the agreement above.</w:t>
      </w:r>
    </w:p>
    <w:p w14:paraId="10BA2051" w14:textId="1673E926" w:rsidR="00BD0EA2" w:rsidRDefault="00BD0EA2" w:rsidP="00C5236B">
      <w:pPr>
        <w:pStyle w:val="Proposal"/>
        <w:rPr>
          <w:lang w:val="en-GB"/>
        </w:rPr>
      </w:pPr>
      <w:bookmarkStart w:id="6" w:name="_Toc40462447"/>
      <w:r>
        <w:rPr>
          <w:lang w:val="en-GB"/>
        </w:rPr>
        <w:t xml:space="preserve">Clarify in 38.214 Section 7 that when the parameter </w:t>
      </w:r>
      <w:r w:rsidRPr="000F5CF0">
        <w:rPr>
          <w:i/>
          <w:iCs/>
          <w:lang w:val="en-GB"/>
        </w:rPr>
        <w:t>intraCellGuardBandUL-r16</w:t>
      </w:r>
      <w:r>
        <w:rPr>
          <w:lang w:val="en-GB"/>
        </w:rPr>
        <w:t xml:space="preserve"> </w:t>
      </w:r>
      <w:r w:rsidR="009A1698">
        <w:rPr>
          <w:lang w:val="en-GB"/>
        </w:rPr>
        <w:t xml:space="preserve">or </w:t>
      </w:r>
      <w:r w:rsidR="009A1698" w:rsidRPr="000F5CF0">
        <w:rPr>
          <w:i/>
          <w:iCs/>
          <w:lang w:val="en-GB"/>
        </w:rPr>
        <w:t>intraCellGuardBand</w:t>
      </w:r>
      <w:r w:rsidR="009A1698">
        <w:rPr>
          <w:i/>
          <w:iCs/>
          <w:lang w:val="en-GB"/>
        </w:rPr>
        <w:t>D</w:t>
      </w:r>
      <w:r w:rsidR="009A1698" w:rsidRPr="000F5CF0">
        <w:rPr>
          <w:i/>
          <w:iCs/>
          <w:lang w:val="en-GB"/>
        </w:rPr>
        <w:t>L-r16</w:t>
      </w:r>
      <w:r w:rsidR="009A1698">
        <w:rPr>
          <w:lang w:val="en-GB"/>
        </w:rPr>
        <w:t xml:space="preserve"> </w:t>
      </w:r>
      <w:r w:rsidR="00E97F4A">
        <w:rPr>
          <w:lang w:val="en-GB"/>
        </w:rPr>
        <w:t xml:space="preserve">is </w:t>
      </w:r>
      <w:r>
        <w:rPr>
          <w:lang w:val="en-GB"/>
        </w:rPr>
        <w:t xml:space="preserve">absent and the default configuration in 38.101-1 indicates that there are no guard bands for </w:t>
      </w:r>
      <w:r w:rsidR="00E97F4A">
        <w:rPr>
          <w:lang w:val="en-GB"/>
        </w:rPr>
        <w:t>the</w:t>
      </w:r>
      <w:r>
        <w:rPr>
          <w:lang w:val="en-GB"/>
        </w:rPr>
        <w:t xml:space="preserve"> carrier (i.e., 20 MHz carrier), </w:t>
      </w:r>
      <w:r w:rsidR="00C5236B">
        <w:rPr>
          <w:lang w:val="en-GB"/>
        </w:rPr>
        <w:t>then</w:t>
      </w:r>
      <w:r>
        <w:rPr>
          <w:lang w:val="en-GB"/>
        </w:rPr>
        <w:t xml:space="preserve"> the number of RB sets is 1</w:t>
      </w:r>
      <w:r w:rsidR="00E97F4A">
        <w:rPr>
          <w:lang w:val="en-GB"/>
        </w:rPr>
        <w:t>. When interlacing is configured</w:t>
      </w:r>
      <w:r w:rsidR="009A1698">
        <w:rPr>
          <w:lang w:val="en-GB"/>
        </w:rPr>
        <w:t xml:space="preserve"> for the UL carrier</w:t>
      </w:r>
      <w:r w:rsidR="00E97F4A">
        <w:rPr>
          <w:lang w:val="en-GB"/>
        </w:rPr>
        <w:t>, the BWP span</w:t>
      </w:r>
      <w:r w:rsidR="00C34274">
        <w:rPr>
          <w:lang w:val="en-GB"/>
        </w:rPr>
        <w:t>s</w:t>
      </w:r>
      <w:r w:rsidR="00E97F4A">
        <w:rPr>
          <w:lang w:val="en-GB"/>
        </w:rPr>
        <w:t xml:space="preserve"> the whole carrier, </w:t>
      </w:r>
      <w:r>
        <w:rPr>
          <w:lang w:val="en-GB"/>
        </w:rPr>
        <w:t xml:space="preserve">and the </w:t>
      </w:r>
      <w:r w:rsidR="00215266">
        <w:rPr>
          <w:lang w:val="en-GB"/>
        </w:rPr>
        <w:t>RB set index is 0</w:t>
      </w:r>
      <w:r w:rsidR="00AC429C">
        <w:rPr>
          <w:lang w:val="en-GB"/>
        </w:rPr>
        <w:t xml:space="preserve"> </w:t>
      </w:r>
      <w:r w:rsidR="009A1698">
        <w:rPr>
          <w:lang w:val="en-GB"/>
        </w:rPr>
        <w:t xml:space="preserve">both within </w:t>
      </w:r>
      <w:r w:rsidR="00AC429C">
        <w:rPr>
          <w:lang w:val="en-GB"/>
        </w:rPr>
        <w:t xml:space="preserve">the carrier and </w:t>
      </w:r>
      <w:r w:rsidR="009A1698">
        <w:rPr>
          <w:lang w:val="en-GB"/>
        </w:rPr>
        <w:t xml:space="preserve">within the UL </w:t>
      </w:r>
      <w:r w:rsidR="00AC429C">
        <w:rPr>
          <w:lang w:val="en-GB"/>
        </w:rPr>
        <w:t>BWP should.</w:t>
      </w:r>
      <w:bookmarkEnd w:id="6"/>
    </w:p>
    <w:p w14:paraId="334604B0" w14:textId="0763355C" w:rsidR="00215266" w:rsidRDefault="00215266" w:rsidP="002D6E72">
      <w:pPr>
        <w:rPr>
          <w:rFonts w:ascii="Arial" w:hAnsi="Arial" w:cs="Arial"/>
          <w:lang w:val="en-GB"/>
        </w:rPr>
      </w:pPr>
      <w:r>
        <w:rPr>
          <w:rFonts w:ascii="Arial" w:hAnsi="Arial" w:cs="Arial"/>
          <w:lang w:val="en-GB"/>
        </w:rPr>
        <w:t>A text proposal implementing this proposal is as follows.</w:t>
      </w:r>
    </w:p>
    <w:p w14:paraId="4DD656A6" w14:textId="3E9CF964" w:rsidR="00215266" w:rsidRPr="00886F89" w:rsidRDefault="00215266" w:rsidP="00215266">
      <w:pPr>
        <w:pStyle w:val="BodyText"/>
        <w:rPr>
          <w:sz w:val="20"/>
          <w:szCs w:val="20"/>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Text Proposal (TP#</w:t>
      </w:r>
      <w:r>
        <w:rPr>
          <w:sz w:val="20"/>
          <w:szCs w:val="20"/>
          <w:highlight w:val="yellow"/>
        </w:rPr>
        <w:t>1</w:t>
      </w:r>
      <w:r w:rsidRPr="00886F89">
        <w:rPr>
          <w:sz w:val="20"/>
          <w:szCs w:val="20"/>
          <w:highlight w:val="yellow"/>
        </w:rPr>
        <w:t>) for 38.</w:t>
      </w:r>
      <w:r>
        <w:rPr>
          <w:sz w:val="20"/>
          <w:szCs w:val="20"/>
          <w:highlight w:val="yellow"/>
        </w:rPr>
        <w:t>214</w:t>
      </w:r>
      <w:r w:rsidRPr="00886F89">
        <w:rPr>
          <w:sz w:val="20"/>
          <w:szCs w:val="20"/>
          <w:highlight w:val="yellow"/>
        </w:rPr>
        <w:t xml:space="preserve">, Section </w:t>
      </w:r>
      <w:r>
        <w:rPr>
          <w:sz w:val="20"/>
          <w:szCs w:val="20"/>
          <w:highlight w:val="yellow"/>
        </w:rPr>
        <w:t>7</w:t>
      </w:r>
      <w:r w:rsidRPr="00886F89">
        <w:rPr>
          <w:sz w:val="20"/>
          <w:szCs w:val="20"/>
          <w:highlight w:val="yellow"/>
        </w:rPr>
        <w:t xml:space="preserve"> -----------------</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w:t>
      </w:r>
    </w:p>
    <w:p w14:paraId="32C6EC88" w14:textId="04F74AD1" w:rsidR="00215266" w:rsidRDefault="00215266" w:rsidP="00215266">
      <w:pPr>
        <w:pStyle w:val="BodyText"/>
        <w:jc w:val="center"/>
        <w:rPr>
          <w:color w:val="FF0000"/>
          <w:sz w:val="20"/>
          <w:szCs w:val="20"/>
        </w:rPr>
      </w:pPr>
      <w:r w:rsidRPr="00886F89">
        <w:rPr>
          <w:color w:val="FF0000"/>
          <w:sz w:val="20"/>
          <w:szCs w:val="20"/>
        </w:rPr>
        <w:t>*** Unchanged text omitted ***</w:t>
      </w:r>
    </w:p>
    <w:p w14:paraId="32CDF322" w14:textId="77777777" w:rsidR="00215266" w:rsidRPr="00215266" w:rsidRDefault="00215266" w:rsidP="00215266">
      <w:pPr>
        <w:pStyle w:val="BodyText"/>
        <w:rPr>
          <w:sz w:val="36"/>
          <w:szCs w:val="36"/>
          <w:lang w:val="en-GB"/>
        </w:rPr>
      </w:pPr>
      <w:r w:rsidRPr="00215266">
        <w:rPr>
          <w:sz w:val="36"/>
          <w:szCs w:val="36"/>
          <w:lang w:val="en-GB"/>
        </w:rPr>
        <w:t>7</w:t>
      </w:r>
      <w:r w:rsidRPr="00215266">
        <w:rPr>
          <w:sz w:val="36"/>
          <w:szCs w:val="36"/>
          <w:lang w:val="en-GB"/>
        </w:rPr>
        <w:tab/>
        <w:t>UE procedures for transmitting and receiving on a carrier with intra-cell guard bands</w:t>
      </w:r>
    </w:p>
    <w:p w14:paraId="21F51CA5" w14:textId="32F3CA08" w:rsidR="00215266" w:rsidRPr="00215266" w:rsidRDefault="00215266" w:rsidP="00215266">
      <w:pPr>
        <w:spacing w:after="180" w:line="240" w:lineRule="auto"/>
        <w:rPr>
          <w:rFonts w:ascii="Times New Roman" w:eastAsia="Malgun Gothic" w:hAnsi="Times New Roman" w:cs="Times New Roman"/>
          <w:i/>
          <w:color w:val="FF0000"/>
          <w:sz w:val="20"/>
          <w:szCs w:val="20"/>
        </w:rPr>
      </w:pPr>
      <w:r w:rsidRPr="00215266">
        <w:rPr>
          <w:rFonts w:ascii="Times New Roman" w:eastAsia="Malgun Gothic" w:hAnsi="Times New Roman" w:cs="Times New Roman"/>
          <w:sz w:val="20"/>
          <w:szCs w:val="20"/>
        </w:rPr>
        <w:t xml:space="preserve">For operation with shared spectrum channel access, when the UE is configured with any of </w:t>
      </w:r>
      <w:r w:rsidRPr="00215266">
        <w:rPr>
          <w:rFonts w:ascii="Times New Roman" w:eastAsia="Malgun Gothic" w:hAnsi="Times New Roman" w:cs="Times New Roman"/>
          <w:i/>
          <w:sz w:val="20"/>
          <w:szCs w:val="20"/>
        </w:rPr>
        <w:t xml:space="preserve">intraCellGuardBandUL-r16 </w:t>
      </w:r>
      <w:r w:rsidRPr="00215266">
        <w:rPr>
          <w:rFonts w:ascii="Times New Roman" w:eastAsia="Malgun Gothic" w:hAnsi="Times New Roman" w:cs="Times New Roman"/>
          <w:sz w:val="20"/>
          <w:szCs w:val="20"/>
        </w:rPr>
        <w:t xml:space="preserve">for UL carrier and </w:t>
      </w:r>
      <w:r w:rsidRPr="00215266">
        <w:rPr>
          <w:rFonts w:ascii="Times New Roman" w:eastAsia="Malgun Gothic" w:hAnsi="Times New Roman" w:cs="Times New Roman"/>
          <w:i/>
          <w:sz w:val="20"/>
          <w:szCs w:val="20"/>
        </w:rPr>
        <w:t xml:space="preserve">intraCellGuardBandDL-r16 </w:t>
      </w:r>
      <w:r w:rsidRPr="00215266">
        <w:rPr>
          <w:rFonts w:ascii="Times New Roman" w:eastAsia="Malgun Gothic" w:hAnsi="Times New Roman" w:cs="Times New Roman"/>
          <w:sz w:val="20"/>
          <w:szCs w:val="20"/>
        </w:rPr>
        <w:t>for DL carrier</w:t>
      </w:r>
      <w:r w:rsidRPr="00215266">
        <w:rPr>
          <w:rFonts w:ascii="Times New Roman" w:eastAsia="Malgun Gothic" w:hAnsi="Times New Roman" w:cs="Times New Roman"/>
          <w:sz w:val="20"/>
          <w:szCs w:val="20"/>
          <w:lang w:val="en-CA"/>
        </w:rPr>
        <w:t xml:space="preserve">, the UE is provided with  </w:t>
      </w:r>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RB-set,x</m:t>
            </m:r>
          </m:sub>
        </m:sSub>
        <m:r>
          <w:rPr>
            <w:rFonts w:ascii="Cambria Math" w:eastAsia="Malgun Gothic" w:hAnsi="Cambria Math" w:cs="Times New Roman"/>
            <w:sz w:val="20"/>
            <w:szCs w:val="20"/>
          </w:rPr>
          <m:t xml:space="preserve">-1 </m:t>
        </m:r>
      </m:oMath>
      <w:r w:rsidRPr="00215266">
        <w:rPr>
          <w:rFonts w:ascii="Times New Roman" w:eastAsia="Malgun Gothic" w:hAnsi="Times New Roman" w:cs="Times New Roman"/>
          <w:sz w:val="20"/>
          <w:szCs w:val="20"/>
        </w:rPr>
        <w:t xml:space="preserve"> intra-cell guard bands on a carrier, each defined by start CRB and size in number of CRBs, </w:t>
      </w:r>
      <m:oMath>
        <m:r>
          <w:rPr>
            <w:rFonts w:ascii="Cambria Math" w:eastAsia="Malgun Gothic" w:hAnsi="Cambria Math" w:cs="Times New Roman"/>
            <w:sz w:val="20"/>
            <w:szCs w:val="20"/>
          </w:rPr>
          <m:t>G</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rPr>
          <m:t xml:space="preserve"> </m:t>
        </m:r>
      </m:oMath>
      <w:r w:rsidRPr="00215266">
        <w:rPr>
          <w:rFonts w:ascii="Times New Roman" w:eastAsia="Malgun Gothic" w:hAnsi="Times New Roman" w:cs="Times New Roman"/>
          <w:sz w:val="20"/>
          <w:szCs w:val="20"/>
        </w:rPr>
        <w:t xml:space="preserve"> and </w:t>
      </w:r>
      <m:oMath>
        <m:r>
          <w:rPr>
            <w:rFonts w:ascii="Cambria Math" w:eastAsia="Malgun Gothic" w:hAnsi="Cambria Math" w:cs="Times New Roman"/>
            <w:sz w:val="20"/>
            <w:szCs w:val="20"/>
          </w:rPr>
          <m:t>G</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size,μ</m:t>
            </m:r>
          </m:sup>
        </m:sSubSup>
        <m:r>
          <w:rPr>
            <w:rFonts w:ascii="Cambria Math" w:eastAsia="Malgun Gothic" w:hAnsi="Cambria Math" w:cs="Times New Roman"/>
            <w:sz w:val="20"/>
            <w:szCs w:val="20"/>
          </w:rPr>
          <m:t xml:space="preserve"> </m:t>
        </m:r>
      </m:oMath>
      <w:r w:rsidRPr="00215266">
        <w:rPr>
          <w:rFonts w:ascii="Times New Roman" w:eastAsia="Malgun Gothic" w:hAnsi="Times New Roman" w:cs="Times New Roman"/>
          <w:sz w:val="20"/>
          <w:szCs w:val="20"/>
        </w:rPr>
        <w:t xml:space="preserve">, provided by higher layer parameters </w:t>
      </w:r>
      <w:r w:rsidRPr="00215266">
        <w:rPr>
          <w:rFonts w:ascii="Times New Roman" w:eastAsia="Malgun Gothic" w:hAnsi="Times New Roman" w:cs="Times New Roman"/>
          <w:i/>
          <w:sz w:val="20"/>
          <w:szCs w:val="20"/>
        </w:rPr>
        <w:t>startCRB-r16</w:t>
      </w:r>
      <w:r w:rsidRPr="00215266">
        <w:rPr>
          <w:rFonts w:ascii="Times New Roman" w:eastAsia="Malgun Gothic" w:hAnsi="Times New Roman" w:cs="Times New Roman"/>
          <w:sz w:val="20"/>
          <w:szCs w:val="20"/>
        </w:rPr>
        <w:t xml:space="preserve"> and </w:t>
      </w:r>
      <w:r w:rsidRPr="00215266">
        <w:rPr>
          <w:rFonts w:ascii="Times New Roman" w:eastAsia="Malgun Gothic" w:hAnsi="Times New Roman" w:cs="Times New Roman"/>
          <w:i/>
          <w:sz w:val="20"/>
          <w:szCs w:val="20"/>
        </w:rPr>
        <w:t>nrofCRBs-r16</w:t>
      </w:r>
      <w:r w:rsidRPr="00215266">
        <w:rPr>
          <w:rFonts w:ascii="Times New Roman" w:eastAsia="Malgun Gothic" w:hAnsi="Times New Roman" w:cs="Times New Roman"/>
          <w:sz w:val="20"/>
          <w:szCs w:val="20"/>
        </w:rPr>
        <w:t>, respectively.</w:t>
      </w:r>
      <w:r w:rsidRPr="00215266">
        <w:rPr>
          <w:rFonts w:ascii="Times New Roman" w:eastAsia="Times New Roman" w:hAnsi="Times New Roman" w:cs="Times New Roman"/>
          <w:sz w:val="20"/>
          <w:szCs w:val="20"/>
          <w:lang w:val="en-GB"/>
        </w:rPr>
        <w:t xml:space="preserve"> </w:t>
      </w:r>
      <w:r w:rsidRPr="00215266">
        <w:rPr>
          <w:rFonts w:ascii="Times New Roman" w:eastAsia="Malgun Gothic" w:hAnsi="Times New Roman" w:cs="Times New Roman"/>
          <w:sz w:val="20"/>
          <w:szCs w:val="20"/>
        </w:rPr>
        <w:t xml:space="preserve">The subscript </w:t>
      </w:r>
      <w:r w:rsidRPr="00215266">
        <w:rPr>
          <w:rFonts w:ascii="Times New Roman" w:eastAsia="Malgun Gothic" w:hAnsi="Times New Roman" w:cs="Times New Roman"/>
          <w:i/>
          <w:sz w:val="20"/>
          <w:szCs w:val="20"/>
        </w:rPr>
        <w:t>x</w:t>
      </w:r>
      <w:r w:rsidRPr="00215266">
        <w:rPr>
          <w:rFonts w:ascii="Times New Roman" w:eastAsia="Malgun Gothic" w:hAnsi="Times New Roman" w:cs="Times New Roman"/>
          <w:sz w:val="20"/>
          <w:szCs w:val="20"/>
        </w:rPr>
        <w:t xml:space="preserve"> is set to DL and UL for the downlink and uplink, respectively. Where there is no risk of confusion, the subscript </w:t>
      </w:r>
      <w:r w:rsidRPr="00215266">
        <w:rPr>
          <w:rFonts w:ascii="Times New Roman" w:eastAsia="Malgun Gothic" w:hAnsi="Times New Roman" w:cs="Times New Roman"/>
          <w:i/>
          <w:sz w:val="20"/>
          <w:szCs w:val="20"/>
        </w:rPr>
        <w:t>x</w:t>
      </w:r>
      <w:r w:rsidRPr="00215266">
        <w:rPr>
          <w:rFonts w:ascii="Times New Roman" w:eastAsia="Malgun Gothic" w:hAnsi="Times New Roman" w:cs="Times New Roman"/>
          <w:sz w:val="20"/>
          <w:szCs w:val="20"/>
        </w:rPr>
        <w:t xml:space="preserve"> can be dropped. The intra-cell guard bands </w:t>
      </w:r>
      <w:r w:rsidRPr="00215266">
        <w:rPr>
          <w:rFonts w:ascii="Times New Roman" w:eastAsia="Malgun Gothic" w:hAnsi="Times New Roman" w:cs="Times New Roman"/>
          <w:sz w:val="20"/>
          <w:szCs w:val="20"/>
        </w:rPr>
        <w:lastRenderedPageBreak/>
        <w:t xml:space="preserve">separate </w:t>
      </w:r>
      <m:oMath>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RB-set,x</m:t>
            </m:r>
          </m:sub>
        </m:sSub>
        <m:r>
          <w:rPr>
            <w:rFonts w:ascii="Cambria Math" w:eastAsia="Malgun Gothic" w:hAnsi="Cambria Math" w:cs="Times New Roman"/>
            <w:sz w:val="20"/>
            <w:szCs w:val="20"/>
          </w:rPr>
          <m:t xml:space="preserve"> </m:t>
        </m:r>
      </m:oMath>
      <w:r w:rsidRPr="00215266">
        <w:rPr>
          <w:rFonts w:ascii="Times New Roman" w:eastAsia="Malgun Gothic" w:hAnsi="Times New Roman" w:cs="Times New Roman"/>
          <w:sz w:val="20"/>
          <w:szCs w:val="20"/>
        </w:rPr>
        <w:t xml:space="preserve">RB sets, each defined by start and end CRB, </w:t>
      </w:r>
      <m:oMath>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rPr>
          <m:t xml:space="preserve"> </m:t>
        </m:r>
      </m:oMath>
      <w:r w:rsidRPr="00215266">
        <w:rPr>
          <w:rFonts w:ascii="Times New Roman" w:eastAsia="Malgun Gothic" w:hAnsi="Times New Roman" w:cs="Times New Roman"/>
          <w:sz w:val="20"/>
          <w:szCs w:val="20"/>
        </w:rPr>
        <w:t xml:space="preserve">and </w:t>
      </w:r>
      <m:oMath>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end,μ</m:t>
            </m:r>
          </m:sup>
        </m:sSubSup>
      </m:oMath>
      <w:r w:rsidRPr="00215266">
        <w:rPr>
          <w:rFonts w:ascii="Times New Roman" w:eastAsia="Malgun Gothic" w:hAnsi="Times New Roman" w:cs="Times New Roman"/>
          <w:sz w:val="20"/>
          <w:szCs w:val="20"/>
        </w:rPr>
        <w:t xml:space="preserve">, respectively. UE determines </w:t>
      </w:r>
      <m:oMath>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0,x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grid,x</m:t>
            </m:r>
          </m:sub>
          <m:sup>
            <m:r>
              <m:rPr>
                <m:nor/>
              </m:rPr>
              <w:rPr>
                <w:rFonts w:ascii="Cambria Math" w:eastAsia="Malgun Gothic" w:hAnsi="Cambria Math" w:cs="Times New Roman"/>
                <w:sz w:val="20"/>
                <w:szCs w:val="20"/>
                <w:lang w:val="en-GB"/>
              </w:rPr>
              <m:t>start</m:t>
            </m:r>
            <m:r>
              <w:rPr>
                <w:rFonts w:ascii="Cambria Math" w:eastAsia="Malgun Gothic" w:hAnsi="Cambria Math" w:cs="Times New Roman"/>
                <w:sz w:val="20"/>
                <w:szCs w:val="20"/>
                <w:lang w:val="en-GB"/>
              </w:rPr>
              <m:t>,μ</m:t>
            </m:r>
          </m:sup>
        </m:sSubSup>
      </m:oMath>
      <w:r w:rsidRPr="00215266">
        <w:rPr>
          <w:rFonts w:ascii="Times New Roman" w:eastAsia="Malgun Gothic" w:hAnsi="Times New Roman" w:cs="Times New Roman"/>
          <w:sz w:val="20"/>
          <w:szCs w:val="20"/>
          <w:lang w:val="en-GB"/>
        </w:rPr>
        <w:t xml:space="preserve">, </w:t>
      </w:r>
      <m:oMath>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sSub>
              <m:sSubPr>
                <m:ctrlPr>
                  <w:rPr>
                    <w:rFonts w:ascii="Cambria Math" w:eastAsia="Malgun Gothic" w:hAnsi="Cambria Math" w:cs="Times New Roman"/>
                    <w:i/>
                    <w:sz w:val="20"/>
                    <w:szCs w:val="20"/>
                    <w:lang w:val="en-GB"/>
                  </w:rPr>
                </m:ctrlPr>
              </m:sSubPr>
              <m:e>
                <m:r>
                  <w:rPr>
                    <w:rFonts w:ascii="Cambria Math" w:eastAsia="Malgun Gothic" w:hAnsi="Cambria Math" w:cs="Times New Roman"/>
                    <w:sz w:val="20"/>
                    <w:szCs w:val="20"/>
                  </w:rPr>
                  <m:t>N</m:t>
                </m:r>
              </m:e>
              <m:sub>
                <m:r>
                  <w:rPr>
                    <w:rFonts w:ascii="Cambria Math" w:eastAsia="Malgun Gothic" w:hAnsi="Cambria Math" w:cs="Times New Roman"/>
                    <w:sz w:val="20"/>
                    <w:szCs w:val="20"/>
                  </w:rPr>
                  <m:t>RB-set</m:t>
                </m:r>
              </m:sub>
            </m:sSub>
            <m:r>
              <w:rPr>
                <w:rFonts w:ascii="Cambria Math" w:eastAsia="Malgun Gothic" w:hAnsi="Cambria Math" w:cs="Times New Roman"/>
                <w:sz w:val="20"/>
                <w:szCs w:val="20"/>
              </w:rPr>
              <m:t>-1,x</m:t>
            </m:r>
          </m:sub>
          <m:sup>
            <m:r>
              <w:rPr>
                <w:rFonts w:ascii="Cambria Math" w:eastAsia="Malgun Gothic" w:hAnsi="Cambria Math" w:cs="Times New Roman"/>
                <w:sz w:val="20"/>
                <w:szCs w:val="20"/>
              </w:rPr>
              <m:t>end,μ</m:t>
            </m:r>
          </m:sup>
        </m:sSubSup>
        <m:r>
          <w:rPr>
            <w:rFonts w:ascii="Cambria Math" w:eastAsia="Malgun Gothic" w:hAnsi="Cambria Math" w:cs="Times New Roman"/>
            <w:sz w:val="20"/>
            <w:szCs w:val="20"/>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grid,x</m:t>
            </m:r>
          </m:sub>
          <m:sup>
            <m:r>
              <m:rPr>
                <m:nor/>
              </m:rPr>
              <w:rPr>
                <w:rFonts w:ascii="Cambria Math" w:eastAsia="Malgun Gothic" w:hAnsi="Cambria Math" w:cs="Times New Roman"/>
                <w:sz w:val="20"/>
                <w:szCs w:val="20"/>
                <w:lang w:val="en-GB"/>
              </w:rPr>
              <m:t>start</m:t>
            </m:r>
            <m:r>
              <w:rPr>
                <w:rFonts w:ascii="Cambria Math" w:eastAsia="Malgun Gothic" w:hAnsi="Cambria Math" w:cs="Times New Roman"/>
                <w:sz w:val="20"/>
                <w:szCs w:val="20"/>
                <w:lang w:val="en-GB"/>
              </w:rPr>
              <m:t>,μ</m:t>
            </m:r>
          </m:sup>
        </m:sSubSup>
        <m:r>
          <w:rPr>
            <w:rFonts w:ascii="Cambria Math" w:eastAsia="Malgun Gothic" w:hAnsi="Cambria Math" w:cs="Times New Roman"/>
            <w:sz w:val="20"/>
            <w:szCs w:val="20"/>
            <w:lang w:val="en-GB"/>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grid,x</m:t>
            </m:r>
          </m:sub>
          <m:sup>
            <m:r>
              <m:rPr>
                <m:nor/>
              </m:rPr>
              <w:rPr>
                <w:rFonts w:ascii="Cambria Math" w:eastAsia="Malgun Gothic" w:hAnsi="Cambria Math" w:cs="Times New Roman"/>
                <w:sz w:val="20"/>
                <w:szCs w:val="20"/>
                <w:lang w:val="en-GB"/>
              </w:rPr>
              <m:t>size</m:t>
            </m:r>
            <m:r>
              <w:rPr>
                <w:rFonts w:ascii="Cambria Math" w:eastAsia="Malgun Gothic" w:hAnsi="Cambria Math" w:cs="Times New Roman"/>
                <w:sz w:val="20"/>
                <w:szCs w:val="20"/>
                <w:lang w:val="en-GB"/>
              </w:rPr>
              <m:t>,μ</m:t>
            </m:r>
          </m:sup>
        </m:sSubSup>
        <m:r>
          <w:rPr>
            <w:rFonts w:ascii="Cambria Math" w:eastAsia="Malgun Gothic" w:hAnsi="Cambria Math" w:cs="Times New Roman"/>
            <w:sz w:val="20"/>
            <w:szCs w:val="20"/>
            <w:lang w:val="en-GB"/>
          </w:rPr>
          <m:t>-1</m:t>
        </m:r>
      </m:oMath>
      <w:r w:rsidRPr="00215266">
        <w:rPr>
          <w:rFonts w:ascii="Times New Roman" w:eastAsia="Malgun Gothic" w:hAnsi="Times New Roman" w:cs="Times New Roman"/>
          <w:sz w:val="20"/>
          <w:szCs w:val="20"/>
        </w:rPr>
        <w:t xml:space="preserve">, and the remaining start and end CRBs as </w:t>
      </w:r>
      <m:oMath>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end,μ</m:t>
            </m:r>
          </m:sup>
        </m:sSubSup>
        <m:r>
          <w:rPr>
            <w:rFonts w:ascii="Cambria Math" w:eastAsia="Malgun Gothic" w:hAnsi="Cambria Math" w:cs="Times New Roman"/>
            <w:sz w:val="20"/>
            <w:szCs w:val="20"/>
          </w:rPr>
          <m:t>=G</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rPr>
          <m:t>-1</m:t>
        </m:r>
      </m:oMath>
      <w:r w:rsidRPr="00215266">
        <w:rPr>
          <w:rFonts w:ascii="Times New Roman" w:eastAsia="Malgun Gothic" w:hAnsi="Times New Roman" w:cs="Times New Roman"/>
          <w:sz w:val="20"/>
          <w:szCs w:val="20"/>
        </w:rPr>
        <w:t xml:space="preserve"> and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RB</m:t>
            </m:r>
          </m:e>
          <m:sub>
            <m:r>
              <w:rPr>
                <w:rFonts w:ascii="Cambria Math" w:eastAsia="Malgun Gothic" w:hAnsi="Cambria Math" w:cs="Times New Roman"/>
                <w:sz w:val="20"/>
                <w:szCs w:val="20"/>
              </w:rPr>
              <m:t xml:space="preserve"> s+1,x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rPr>
          <m:t>=G</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rPr>
          <m:t>+G</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size,μ</m:t>
            </m:r>
          </m:sup>
        </m:sSubSup>
      </m:oMath>
      <w:r w:rsidRPr="00215266">
        <w:rPr>
          <w:rFonts w:ascii="Times New Roman" w:eastAsia="Malgun Gothic" w:hAnsi="Times New Roman" w:cs="Times New Roman"/>
          <w:sz w:val="20"/>
          <w:szCs w:val="20"/>
        </w:rPr>
        <w:t xml:space="preserve">. The RB set </w:t>
      </w:r>
      <w:r w:rsidRPr="00215266">
        <w:rPr>
          <w:rFonts w:ascii="Times New Roman" w:eastAsia="Malgun Gothic" w:hAnsi="Times New Roman" w:cs="Times New Roman"/>
          <w:i/>
          <w:sz w:val="20"/>
          <w:szCs w:val="20"/>
        </w:rPr>
        <w:t>s</w:t>
      </w:r>
      <w:r w:rsidRPr="00215266">
        <w:rPr>
          <w:rFonts w:ascii="Times New Roman" w:eastAsia="Malgun Gothic" w:hAnsi="Times New Roman" w:cs="Times New Roman"/>
          <w:sz w:val="20"/>
          <w:szCs w:val="20"/>
        </w:rPr>
        <w:t xml:space="preserve"> consists of </w:t>
      </w:r>
      <m:oMath>
        <m:r>
          <w:rPr>
            <w:rFonts w:ascii="Cambria Math" w:eastAsia="Malgun Gothic" w:hAnsi="Cambria Math" w:cs="Times New Roman"/>
            <w:sz w:val="20"/>
            <w:szCs w:val="20"/>
          </w:rPr>
          <m:t xml:space="preserve"> 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s,x</m:t>
            </m:r>
          </m:sub>
          <m:sup>
            <m:r>
              <w:rPr>
                <w:rFonts w:ascii="Cambria Math" w:eastAsia="Malgun Gothic" w:hAnsi="Cambria Math" w:cs="Times New Roman"/>
                <w:sz w:val="20"/>
                <w:szCs w:val="20"/>
              </w:rPr>
              <m:t>size,μ</m:t>
            </m:r>
          </m:sup>
        </m:sSubSup>
      </m:oMath>
      <w:r w:rsidRPr="00215266">
        <w:rPr>
          <w:rFonts w:ascii="Times New Roman" w:eastAsia="Malgun Gothic" w:hAnsi="Times New Roman" w:cs="Times New Roman" w:hint="eastAsia"/>
          <w:sz w:val="20"/>
          <w:szCs w:val="20"/>
          <w:lang w:val="en-GB" w:eastAsia="ko-KR"/>
        </w:rPr>
        <w:t xml:space="preserve"> resource blocks</w:t>
      </w:r>
      <w:r w:rsidRPr="00215266">
        <w:rPr>
          <w:rFonts w:ascii="Times New Roman" w:eastAsia="Malgun Gothic" w:hAnsi="Times New Roman" w:cs="Times New Roman"/>
          <w:sz w:val="20"/>
          <w:szCs w:val="20"/>
          <w:lang w:val="en-GB" w:eastAsia="ko-KR"/>
        </w:rPr>
        <w:t xml:space="preserve"> where </w:t>
      </w:r>
      <m:oMath>
        <m:r>
          <w:rPr>
            <w:rFonts w:ascii="Cambria Math" w:eastAsia="Malgun Gothic" w:hAnsi="Cambria Math" w:cs="Times New Roman"/>
            <w:sz w:val="20"/>
            <w:szCs w:val="20"/>
          </w:rPr>
          <m:t xml:space="preserve"> 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s,x</m:t>
            </m:r>
          </m:sub>
          <m:sup>
            <m:r>
              <w:rPr>
                <w:rFonts w:ascii="Cambria Math" w:eastAsia="Malgun Gothic" w:hAnsi="Cambria Math" w:cs="Times New Roman"/>
                <w:sz w:val="20"/>
                <w:szCs w:val="20"/>
              </w:rPr>
              <m:t>size,μ</m:t>
            </m:r>
          </m:sup>
        </m:sSubSup>
        <m:r>
          <w:rPr>
            <w:rFonts w:ascii="Cambria Math" w:eastAsia="Malgun Gothic" w:hAnsi="Cambria Math" w:cs="Times New Roman"/>
            <w:sz w:val="20"/>
            <w:szCs w:val="20"/>
            <w:lang w:val="en-GB"/>
          </w:rPr>
          <m:t>=</m:t>
        </m:r>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end,μ</m:t>
            </m:r>
          </m:sup>
        </m:sSubSup>
        <m:r>
          <w:rPr>
            <w:rFonts w:ascii="Cambria Math" w:eastAsia="Malgun Gothic" w:hAnsi="Cambria Math" w:cs="Times New Roman"/>
            <w:sz w:val="20"/>
            <w:szCs w:val="20"/>
            <w:lang w:val="en-GB"/>
          </w:rPr>
          <m:t>-</m:t>
        </m:r>
        <m:r>
          <w:rPr>
            <w:rFonts w:ascii="Cambria Math" w:eastAsia="Malgun Gothic" w:hAnsi="Cambria Math" w:cs="Times New Roman"/>
            <w:sz w:val="20"/>
            <w:szCs w:val="20"/>
          </w:rPr>
          <m:t>R</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B</m:t>
            </m:r>
          </m:e>
          <m:sub>
            <m:r>
              <w:rPr>
                <w:rFonts w:ascii="Cambria Math" w:eastAsia="Malgun Gothic" w:hAnsi="Cambria Math" w:cs="Times New Roman"/>
                <w:sz w:val="20"/>
                <w:szCs w:val="20"/>
              </w:rPr>
              <m:t xml:space="preserve"> s,x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lang w:val="en-GB"/>
          </w:rPr>
          <m:t>+1</m:t>
        </m:r>
      </m:oMath>
      <w:r w:rsidRPr="00215266">
        <w:rPr>
          <w:rFonts w:ascii="Times New Roman" w:eastAsia="Malgun Gothic" w:hAnsi="Times New Roman" w:cs="Times New Roman" w:hint="eastAsia"/>
          <w:sz w:val="20"/>
          <w:szCs w:val="20"/>
          <w:lang w:val="en-GB" w:eastAsia="ko-KR"/>
        </w:rPr>
        <w:t xml:space="preserve">. </w:t>
      </w:r>
      <w:r w:rsidRPr="00215266">
        <w:rPr>
          <w:rFonts w:ascii="Times New Roman" w:eastAsia="Malgun Gothic" w:hAnsi="Times New Roman" w:cs="Times New Roman"/>
          <w:sz w:val="20"/>
          <w:szCs w:val="20"/>
        </w:rPr>
        <w:t xml:space="preserve">When the UE is not configured with </w:t>
      </w:r>
      <w:r w:rsidRPr="00215266">
        <w:rPr>
          <w:rFonts w:ascii="Times New Roman" w:eastAsia="Malgun Gothic" w:hAnsi="Times New Roman" w:cs="Times New Roman"/>
          <w:i/>
          <w:sz w:val="20"/>
          <w:szCs w:val="20"/>
        </w:rPr>
        <w:t xml:space="preserve">intraCellGuardBandUL-r16, </w:t>
      </w:r>
      <w:r w:rsidRPr="00215266">
        <w:rPr>
          <w:rFonts w:ascii="Times New Roman" w:eastAsia="Malgun Gothic" w:hAnsi="Times New Roman" w:cs="Times New Roman"/>
          <w:sz w:val="20"/>
          <w:szCs w:val="20"/>
        </w:rPr>
        <w:t xml:space="preserve">the UE determines intra-cell guard band and corresponding RB set according to the [default intra-cell GB pattern from [8, TS 38.101-1] corresponding to </w:t>
      </w:r>
      <m:oMath>
        <m:r>
          <w:rPr>
            <w:rFonts w:ascii="Cambria Math" w:eastAsia="Malgun Gothic" w:hAnsi="Cambria Math" w:cs="Times New Roman"/>
            <w:sz w:val="20"/>
            <w:szCs w:val="20"/>
          </w:rPr>
          <m:t>μ</m:t>
        </m:r>
      </m:oMath>
      <w:r w:rsidRPr="00215266">
        <w:rPr>
          <w:rFonts w:ascii="Times New Roman" w:eastAsia="Malgun Gothic" w:hAnsi="Times New Roman" w:cs="Times New Roman"/>
          <w:sz w:val="20"/>
          <w:szCs w:val="20"/>
        </w:rPr>
        <w:t xml:space="preserve"> and carrier size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grid,x</m:t>
            </m:r>
          </m:sub>
          <m:sup>
            <m:r>
              <m:rPr>
                <m:nor/>
              </m:rPr>
              <w:rPr>
                <w:rFonts w:ascii="Cambria Math" w:eastAsia="Malgun Gothic" w:hAnsi="Cambria Math" w:cs="Times New Roman"/>
                <w:sz w:val="20"/>
                <w:szCs w:val="20"/>
                <w:lang w:val="en-GB"/>
              </w:rPr>
              <m:t>size</m:t>
            </m:r>
            <m:r>
              <w:rPr>
                <w:rFonts w:ascii="Cambria Math" w:eastAsia="Malgun Gothic" w:hAnsi="Cambria Math" w:cs="Times New Roman"/>
                <w:sz w:val="20"/>
                <w:szCs w:val="20"/>
                <w:lang w:val="en-GB"/>
              </w:rPr>
              <m:t>,μ</m:t>
            </m:r>
          </m:sup>
        </m:sSubSup>
      </m:oMath>
      <w:r w:rsidRPr="00215266">
        <w:rPr>
          <w:rFonts w:ascii="Times New Roman" w:eastAsia="Malgun Gothic" w:hAnsi="Times New Roman" w:cs="Times New Roman"/>
          <w:sz w:val="20"/>
          <w:szCs w:val="20"/>
        </w:rPr>
        <w:t xml:space="preserve">]. </w:t>
      </w:r>
      <w:r w:rsidR="00477F67" w:rsidRPr="00477F67">
        <w:rPr>
          <w:rFonts w:ascii="Times New Roman" w:eastAsia="Malgun Gothic" w:hAnsi="Times New Roman" w:cs="Times New Roman"/>
          <w:color w:val="FF0000"/>
          <w:sz w:val="20"/>
          <w:szCs w:val="20"/>
        </w:rPr>
        <w:t xml:space="preserve">For </w:t>
      </w:r>
      <m:oMath>
        <m:sSubSup>
          <m:sSubSupPr>
            <m:ctrlPr>
              <w:rPr>
                <w:rFonts w:ascii="Cambria Math" w:eastAsia="Malgun Gothic" w:hAnsi="Cambria Math" w:cs="Times New Roman"/>
                <w:i/>
                <w:color w:val="FF0000"/>
                <w:sz w:val="20"/>
                <w:szCs w:val="20"/>
                <w:lang w:val="en-GB"/>
              </w:rPr>
            </m:ctrlPr>
          </m:sSubSupPr>
          <m:e>
            <m:r>
              <w:rPr>
                <w:rFonts w:ascii="Cambria Math" w:eastAsia="Malgun Gothic" w:hAnsi="Cambria Math" w:cs="Times New Roman"/>
                <w:color w:val="FF0000"/>
                <w:sz w:val="20"/>
                <w:szCs w:val="20"/>
                <w:lang w:val="en-GB"/>
              </w:rPr>
              <m:t>N</m:t>
            </m:r>
          </m:e>
          <m:sub>
            <m:r>
              <m:rPr>
                <m:nor/>
              </m:rPr>
              <w:rPr>
                <w:rFonts w:ascii="Cambria Math" w:eastAsia="Malgun Gothic" w:hAnsi="Cambria Math" w:cs="Times New Roman"/>
                <w:color w:val="FF0000"/>
                <w:sz w:val="20"/>
                <w:szCs w:val="20"/>
                <w:lang w:val="en-GB"/>
              </w:rPr>
              <m:t>grid,UL</m:t>
            </m:r>
          </m:sub>
          <m:sup>
            <m:r>
              <m:rPr>
                <m:nor/>
              </m:rPr>
              <w:rPr>
                <w:rFonts w:ascii="Cambria Math" w:eastAsia="Malgun Gothic" w:hAnsi="Cambria Math" w:cs="Times New Roman"/>
                <w:color w:val="FF0000"/>
                <w:sz w:val="20"/>
                <w:szCs w:val="20"/>
                <w:lang w:val="en-GB"/>
              </w:rPr>
              <m:t>size</m:t>
            </m:r>
            <m:r>
              <w:rPr>
                <w:rFonts w:ascii="Cambria Math" w:eastAsia="Malgun Gothic" w:hAnsi="Cambria Math" w:cs="Times New Roman"/>
                <w:color w:val="FF0000"/>
                <w:sz w:val="20"/>
                <w:szCs w:val="20"/>
                <w:lang w:val="en-GB"/>
              </w:rPr>
              <m:t>,μ</m:t>
            </m:r>
          </m:sup>
        </m:sSubSup>
        <m:r>
          <w:rPr>
            <w:rFonts w:ascii="Cambria Math" w:eastAsia="Malgun Gothic" w:hAnsi="Cambria Math" w:cs="Times New Roman"/>
            <w:color w:val="FF0000"/>
            <w:sz w:val="20"/>
            <w:szCs w:val="20"/>
            <w:lang w:val="en-GB"/>
          </w:rPr>
          <m:t>≤</m:t>
        </m:r>
        <m:d>
          <m:dPr>
            <m:begChr m:val="{"/>
            <m:endChr m:val="}"/>
            <m:ctrlPr>
              <w:rPr>
                <w:rFonts w:ascii="Cambria Math" w:eastAsia="Malgun Gothic" w:hAnsi="Cambria Math" w:cs="Times New Roman"/>
                <w:i/>
                <w:color w:val="FF0000"/>
                <w:sz w:val="20"/>
                <w:szCs w:val="20"/>
                <w:lang w:val="en-GB"/>
              </w:rPr>
            </m:ctrlPr>
          </m:dPr>
          <m:e>
            <m:r>
              <w:rPr>
                <w:rFonts w:ascii="Cambria Math" w:eastAsia="Malgun Gothic" w:hAnsi="Cambria Math" w:cs="Times New Roman"/>
                <w:color w:val="FF0000"/>
                <w:sz w:val="20"/>
                <w:szCs w:val="20"/>
                <w:lang w:val="en-GB"/>
              </w:rPr>
              <m:t>106,51</m:t>
            </m:r>
          </m:e>
        </m:d>
      </m:oMath>
      <w:r w:rsidR="00B532F2">
        <w:rPr>
          <w:rFonts w:ascii="Times New Roman" w:eastAsia="Malgun Gothic" w:hAnsi="Times New Roman" w:cs="Times New Roman"/>
          <w:color w:val="FF0000"/>
          <w:sz w:val="20"/>
          <w:szCs w:val="20"/>
          <w:lang w:val="en-GB"/>
        </w:rPr>
        <w:t xml:space="preserve"> for </w:t>
      </w:r>
      <m:oMath>
        <m:r>
          <w:rPr>
            <w:rFonts w:ascii="Cambria Math" w:eastAsia="Malgun Gothic" w:hAnsi="Cambria Math" w:cs="Times New Roman"/>
            <w:color w:val="FF0000"/>
            <w:sz w:val="20"/>
            <w:szCs w:val="20"/>
            <w:lang w:val="en-GB"/>
          </w:rPr>
          <m:t>μ=</m:t>
        </m:r>
        <m:d>
          <m:dPr>
            <m:begChr m:val="{"/>
            <m:endChr m:val="}"/>
            <m:ctrlPr>
              <w:rPr>
                <w:rFonts w:ascii="Cambria Math" w:eastAsia="Malgun Gothic" w:hAnsi="Cambria Math" w:cs="Times New Roman"/>
                <w:i/>
                <w:color w:val="FF0000"/>
                <w:sz w:val="20"/>
                <w:szCs w:val="20"/>
                <w:lang w:val="en-GB"/>
              </w:rPr>
            </m:ctrlPr>
          </m:dPr>
          <m:e>
            <m:r>
              <w:rPr>
                <w:rFonts w:ascii="Cambria Math" w:eastAsia="Malgun Gothic" w:hAnsi="Cambria Math" w:cs="Times New Roman"/>
                <w:color w:val="FF0000"/>
                <w:sz w:val="20"/>
                <w:szCs w:val="20"/>
                <w:lang w:val="en-GB"/>
              </w:rPr>
              <m:t>0,1</m:t>
            </m:r>
          </m:e>
        </m:d>
      </m:oMath>
      <w:r w:rsidR="00B532F2">
        <w:rPr>
          <w:rFonts w:ascii="Times New Roman" w:eastAsia="Malgun Gothic" w:hAnsi="Times New Roman" w:cs="Times New Roman"/>
          <w:color w:val="FF0000"/>
          <w:sz w:val="20"/>
          <w:szCs w:val="20"/>
          <w:lang w:val="en-GB"/>
        </w:rPr>
        <w:t xml:space="preserve">, respectively, </w:t>
      </w:r>
      <w:r w:rsidR="00477F67" w:rsidRPr="00477F67">
        <w:rPr>
          <w:rFonts w:ascii="Times New Roman" w:eastAsia="Malgun Gothic" w:hAnsi="Times New Roman" w:cs="Times New Roman"/>
          <w:color w:val="FF0000"/>
          <w:sz w:val="20"/>
          <w:szCs w:val="20"/>
          <w:lang w:val="en-GB"/>
        </w:rPr>
        <w:t xml:space="preserve">the UE determines only </w:t>
      </w:r>
      <w:r w:rsidR="00477F67">
        <w:rPr>
          <w:rFonts w:ascii="Times New Roman" w:eastAsia="Malgun Gothic" w:hAnsi="Times New Roman" w:cs="Times New Roman"/>
          <w:color w:val="FF0000"/>
          <w:sz w:val="20"/>
          <w:szCs w:val="20"/>
          <w:lang w:val="en-GB"/>
        </w:rPr>
        <w:t xml:space="preserve">a single </w:t>
      </w:r>
      <w:r w:rsidR="00B532F2">
        <w:rPr>
          <w:rFonts w:ascii="Times New Roman" w:eastAsia="Malgun Gothic" w:hAnsi="Times New Roman" w:cs="Times New Roman"/>
          <w:color w:val="FF0000"/>
          <w:sz w:val="20"/>
          <w:szCs w:val="20"/>
          <w:lang w:val="en-GB"/>
        </w:rPr>
        <w:t xml:space="preserve">UL </w:t>
      </w:r>
      <w:r w:rsidR="00477F67">
        <w:rPr>
          <w:rFonts w:ascii="Times New Roman" w:eastAsia="Malgun Gothic" w:hAnsi="Times New Roman" w:cs="Times New Roman"/>
          <w:color w:val="FF0000"/>
          <w:sz w:val="20"/>
          <w:szCs w:val="20"/>
          <w:lang w:val="en-GB"/>
        </w:rPr>
        <w:t>RB set</w:t>
      </w:r>
      <w:r w:rsidR="00B532F2">
        <w:rPr>
          <w:rFonts w:ascii="Times New Roman" w:eastAsia="Malgun Gothic" w:hAnsi="Times New Roman" w:cs="Times New Roman"/>
          <w:color w:val="FF0000"/>
          <w:sz w:val="20"/>
          <w:szCs w:val="20"/>
          <w:lang w:val="en-GB"/>
        </w:rPr>
        <w:t xml:space="preserve"> and no guard bands</w:t>
      </w:r>
      <w:r w:rsidR="00477F67" w:rsidRPr="00477F67">
        <w:rPr>
          <w:rFonts w:ascii="Times New Roman" w:eastAsia="Malgun Gothic" w:hAnsi="Times New Roman" w:cs="Times New Roman"/>
          <w:color w:val="FF0000"/>
          <w:sz w:val="20"/>
          <w:szCs w:val="20"/>
          <w:lang w:val="en-GB"/>
        </w:rPr>
        <w:t>.</w:t>
      </w:r>
      <w:r w:rsidR="00477F67">
        <w:rPr>
          <w:rFonts w:ascii="Times New Roman" w:eastAsia="Malgun Gothic" w:hAnsi="Times New Roman" w:cs="Times New Roman"/>
          <w:sz w:val="20"/>
          <w:szCs w:val="20"/>
          <w:lang w:val="en-GB"/>
        </w:rPr>
        <w:t xml:space="preserve"> </w:t>
      </w:r>
      <w:r w:rsidRPr="00215266">
        <w:rPr>
          <w:rFonts w:ascii="Times New Roman" w:eastAsia="Malgun Gothic" w:hAnsi="Times New Roman" w:cs="Times New Roman"/>
          <w:sz w:val="20"/>
          <w:szCs w:val="20"/>
        </w:rPr>
        <w:t xml:space="preserve">When the UE is not configured with </w:t>
      </w:r>
      <w:r w:rsidRPr="00215266">
        <w:rPr>
          <w:rFonts w:ascii="Times New Roman" w:eastAsia="Malgun Gothic" w:hAnsi="Times New Roman" w:cs="Times New Roman"/>
          <w:i/>
          <w:sz w:val="20"/>
          <w:szCs w:val="20"/>
        </w:rPr>
        <w:t xml:space="preserve">intraCellGuardBandDL-r16, </w:t>
      </w:r>
      <w:r w:rsidRPr="00215266">
        <w:rPr>
          <w:rFonts w:ascii="Times New Roman" w:eastAsia="Malgun Gothic" w:hAnsi="Times New Roman" w:cs="Times New Roman"/>
          <w:sz w:val="20"/>
          <w:szCs w:val="20"/>
        </w:rPr>
        <w:t xml:space="preserve">the UE determines intra-cell guard band and corresponding RB set according to the [default intra-cell GB pattern from [8, TS 38.101-1] corresponding to </w:t>
      </w:r>
      <m:oMath>
        <m:r>
          <w:rPr>
            <w:rFonts w:ascii="Cambria Math" w:eastAsia="Malgun Gothic" w:hAnsi="Cambria Math" w:cs="Times New Roman"/>
            <w:sz w:val="20"/>
            <w:szCs w:val="20"/>
          </w:rPr>
          <m:t>μ</m:t>
        </m:r>
      </m:oMath>
      <w:r w:rsidRPr="00215266">
        <w:rPr>
          <w:rFonts w:ascii="Times New Roman" w:eastAsia="Malgun Gothic" w:hAnsi="Times New Roman" w:cs="Times New Roman"/>
          <w:sz w:val="20"/>
          <w:szCs w:val="20"/>
        </w:rPr>
        <w:t xml:space="preserve"> and carrier size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N</m:t>
            </m:r>
          </m:e>
          <m:sub>
            <m:r>
              <m:rPr>
                <m:nor/>
              </m:rPr>
              <w:rPr>
                <w:rFonts w:ascii="Cambria Math" w:eastAsia="Malgun Gothic" w:hAnsi="Cambria Math" w:cs="Times New Roman"/>
                <w:sz w:val="20"/>
                <w:szCs w:val="20"/>
                <w:lang w:val="en-GB"/>
              </w:rPr>
              <m:t>grid,x</m:t>
            </m:r>
          </m:sub>
          <m:sup>
            <m:r>
              <m:rPr>
                <m:nor/>
              </m:rPr>
              <w:rPr>
                <w:rFonts w:ascii="Cambria Math" w:eastAsia="Malgun Gothic" w:hAnsi="Cambria Math" w:cs="Times New Roman"/>
                <w:sz w:val="20"/>
                <w:szCs w:val="20"/>
                <w:lang w:val="en-GB"/>
              </w:rPr>
              <m:t>size</m:t>
            </m:r>
            <m:r>
              <w:rPr>
                <w:rFonts w:ascii="Cambria Math" w:eastAsia="Malgun Gothic" w:hAnsi="Cambria Math" w:cs="Times New Roman"/>
                <w:sz w:val="20"/>
                <w:szCs w:val="20"/>
                <w:lang w:val="en-GB"/>
              </w:rPr>
              <m:t>,μ</m:t>
            </m:r>
          </m:sup>
        </m:sSubSup>
      </m:oMath>
      <w:r w:rsidRPr="00215266">
        <w:rPr>
          <w:rFonts w:ascii="Times New Roman" w:eastAsia="Malgun Gothic" w:hAnsi="Times New Roman" w:cs="Times New Roman"/>
          <w:sz w:val="20"/>
          <w:szCs w:val="20"/>
        </w:rPr>
        <w:t>].</w:t>
      </w:r>
      <w:r w:rsidR="009A1698" w:rsidRPr="009A1698">
        <w:rPr>
          <w:rFonts w:ascii="Times New Roman" w:eastAsia="Malgun Gothic" w:hAnsi="Times New Roman" w:cs="Times New Roman"/>
          <w:color w:val="FF0000"/>
          <w:sz w:val="20"/>
          <w:szCs w:val="20"/>
        </w:rPr>
        <w:t xml:space="preserve"> </w:t>
      </w:r>
      <w:r w:rsidR="009A1698" w:rsidRPr="00477F67">
        <w:rPr>
          <w:rFonts w:ascii="Times New Roman" w:eastAsia="Malgun Gothic" w:hAnsi="Times New Roman" w:cs="Times New Roman"/>
          <w:color w:val="FF0000"/>
          <w:sz w:val="20"/>
          <w:szCs w:val="20"/>
        </w:rPr>
        <w:t xml:space="preserve">For </w:t>
      </w:r>
      <m:oMath>
        <m:sSubSup>
          <m:sSubSupPr>
            <m:ctrlPr>
              <w:rPr>
                <w:rFonts w:ascii="Cambria Math" w:eastAsia="Malgun Gothic" w:hAnsi="Cambria Math" w:cs="Times New Roman"/>
                <w:i/>
                <w:color w:val="FF0000"/>
                <w:sz w:val="20"/>
                <w:szCs w:val="20"/>
                <w:lang w:val="en-GB"/>
              </w:rPr>
            </m:ctrlPr>
          </m:sSubSupPr>
          <m:e>
            <m:r>
              <w:rPr>
                <w:rFonts w:ascii="Cambria Math" w:eastAsia="Malgun Gothic" w:hAnsi="Cambria Math" w:cs="Times New Roman"/>
                <w:color w:val="FF0000"/>
                <w:sz w:val="20"/>
                <w:szCs w:val="20"/>
                <w:lang w:val="en-GB"/>
              </w:rPr>
              <m:t>N</m:t>
            </m:r>
          </m:e>
          <m:sub>
            <m:r>
              <m:rPr>
                <m:nor/>
              </m:rPr>
              <w:rPr>
                <w:rFonts w:ascii="Cambria Math" w:eastAsia="Malgun Gothic" w:hAnsi="Cambria Math" w:cs="Times New Roman"/>
                <w:color w:val="FF0000"/>
                <w:sz w:val="20"/>
                <w:szCs w:val="20"/>
                <w:lang w:val="en-GB"/>
              </w:rPr>
              <m:t>grid,DL</m:t>
            </m:r>
          </m:sub>
          <m:sup>
            <m:r>
              <m:rPr>
                <m:nor/>
              </m:rPr>
              <w:rPr>
                <w:rFonts w:ascii="Cambria Math" w:eastAsia="Malgun Gothic" w:hAnsi="Cambria Math" w:cs="Times New Roman"/>
                <w:color w:val="FF0000"/>
                <w:sz w:val="20"/>
                <w:szCs w:val="20"/>
                <w:lang w:val="en-GB"/>
              </w:rPr>
              <m:t>size</m:t>
            </m:r>
            <m:r>
              <w:rPr>
                <w:rFonts w:ascii="Cambria Math" w:eastAsia="Malgun Gothic" w:hAnsi="Cambria Math" w:cs="Times New Roman"/>
                <w:color w:val="FF0000"/>
                <w:sz w:val="20"/>
                <w:szCs w:val="20"/>
                <w:lang w:val="en-GB"/>
              </w:rPr>
              <m:t>,μ</m:t>
            </m:r>
          </m:sup>
        </m:sSubSup>
        <m:r>
          <w:rPr>
            <w:rFonts w:ascii="Cambria Math" w:eastAsia="Malgun Gothic" w:hAnsi="Cambria Math" w:cs="Times New Roman"/>
            <w:color w:val="FF0000"/>
            <w:sz w:val="20"/>
            <w:szCs w:val="20"/>
            <w:lang w:val="en-GB"/>
          </w:rPr>
          <m:t>≤</m:t>
        </m:r>
        <m:d>
          <m:dPr>
            <m:begChr m:val="{"/>
            <m:endChr m:val="}"/>
            <m:ctrlPr>
              <w:rPr>
                <w:rFonts w:ascii="Cambria Math" w:eastAsia="Malgun Gothic" w:hAnsi="Cambria Math" w:cs="Times New Roman"/>
                <w:i/>
                <w:color w:val="FF0000"/>
                <w:sz w:val="20"/>
                <w:szCs w:val="20"/>
                <w:lang w:val="en-GB"/>
              </w:rPr>
            </m:ctrlPr>
          </m:dPr>
          <m:e>
            <m:r>
              <w:rPr>
                <w:rFonts w:ascii="Cambria Math" w:eastAsia="Malgun Gothic" w:hAnsi="Cambria Math" w:cs="Times New Roman"/>
                <w:color w:val="FF0000"/>
                <w:sz w:val="20"/>
                <w:szCs w:val="20"/>
                <w:lang w:val="en-GB"/>
              </w:rPr>
              <m:t>106,51</m:t>
            </m:r>
          </m:e>
        </m:d>
      </m:oMath>
      <w:r w:rsidR="009A1698">
        <w:rPr>
          <w:rFonts w:ascii="Times New Roman" w:eastAsia="Malgun Gothic" w:hAnsi="Times New Roman" w:cs="Times New Roman"/>
          <w:color w:val="FF0000"/>
          <w:sz w:val="20"/>
          <w:szCs w:val="20"/>
          <w:lang w:val="en-GB"/>
        </w:rPr>
        <w:t xml:space="preserve"> for </w:t>
      </w:r>
      <m:oMath>
        <m:r>
          <w:rPr>
            <w:rFonts w:ascii="Cambria Math" w:eastAsia="Malgun Gothic" w:hAnsi="Cambria Math" w:cs="Times New Roman"/>
            <w:color w:val="FF0000"/>
            <w:sz w:val="20"/>
            <w:szCs w:val="20"/>
            <w:lang w:val="en-GB"/>
          </w:rPr>
          <m:t>μ=</m:t>
        </m:r>
        <m:d>
          <m:dPr>
            <m:begChr m:val="{"/>
            <m:endChr m:val="}"/>
            <m:ctrlPr>
              <w:rPr>
                <w:rFonts w:ascii="Cambria Math" w:eastAsia="Malgun Gothic" w:hAnsi="Cambria Math" w:cs="Times New Roman"/>
                <w:i/>
                <w:color w:val="FF0000"/>
                <w:sz w:val="20"/>
                <w:szCs w:val="20"/>
                <w:lang w:val="en-GB"/>
              </w:rPr>
            </m:ctrlPr>
          </m:dPr>
          <m:e>
            <m:r>
              <w:rPr>
                <w:rFonts w:ascii="Cambria Math" w:eastAsia="Malgun Gothic" w:hAnsi="Cambria Math" w:cs="Times New Roman"/>
                <w:color w:val="FF0000"/>
                <w:sz w:val="20"/>
                <w:szCs w:val="20"/>
                <w:lang w:val="en-GB"/>
              </w:rPr>
              <m:t>0,1</m:t>
            </m:r>
          </m:e>
        </m:d>
      </m:oMath>
      <w:r w:rsidR="009A1698">
        <w:rPr>
          <w:rFonts w:ascii="Times New Roman" w:eastAsia="Malgun Gothic" w:hAnsi="Times New Roman" w:cs="Times New Roman"/>
          <w:color w:val="FF0000"/>
          <w:sz w:val="20"/>
          <w:szCs w:val="20"/>
          <w:lang w:val="en-GB"/>
        </w:rPr>
        <w:t xml:space="preserve">, respectively, </w:t>
      </w:r>
      <w:r w:rsidR="009A1698" w:rsidRPr="00477F67">
        <w:rPr>
          <w:rFonts w:ascii="Times New Roman" w:eastAsia="Malgun Gothic" w:hAnsi="Times New Roman" w:cs="Times New Roman"/>
          <w:color w:val="FF0000"/>
          <w:sz w:val="20"/>
          <w:szCs w:val="20"/>
          <w:lang w:val="en-GB"/>
        </w:rPr>
        <w:t xml:space="preserve">the UE determines only </w:t>
      </w:r>
      <w:r w:rsidR="009A1698">
        <w:rPr>
          <w:rFonts w:ascii="Times New Roman" w:eastAsia="Malgun Gothic" w:hAnsi="Times New Roman" w:cs="Times New Roman"/>
          <w:color w:val="FF0000"/>
          <w:sz w:val="20"/>
          <w:szCs w:val="20"/>
          <w:lang w:val="en-GB"/>
        </w:rPr>
        <w:t>a single UL RB set and no guard bands</w:t>
      </w:r>
      <w:r w:rsidR="009A1698" w:rsidRPr="00477F67">
        <w:rPr>
          <w:rFonts w:ascii="Times New Roman" w:eastAsia="Malgun Gothic" w:hAnsi="Times New Roman" w:cs="Times New Roman"/>
          <w:color w:val="FF0000"/>
          <w:sz w:val="20"/>
          <w:szCs w:val="20"/>
          <w:lang w:val="en-GB"/>
        </w:rPr>
        <w:t>.</w:t>
      </w:r>
    </w:p>
    <w:p w14:paraId="5358AFBF" w14:textId="3FB9AB74" w:rsidR="00215266" w:rsidRPr="00215266" w:rsidRDefault="00215266" w:rsidP="00215266">
      <w:pPr>
        <w:spacing w:after="180" w:line="240" w:lineRule="auto"/>
        <w:jc w:val="both"/>
        <w:rPr>
          <w:rFonts w:ascii="Times New Roman" w:eastAsia="Malgun Gothic" w:hAnsi="Times New Roman" w:cs="Times New Roman"/>
          <w:color w:val="000000"/>
          <w:sz w:val="20"/>
          <w:szCs w:val="20"/>
        </w:rPr>
      </w:pPr>
      <w:r w:rsidRPr="00215266">
        <w:rPr>
          <w:rFonts w:ascii="Times New Roman" w:eastAsia="Malgun Gothic" w:hAnsi="Times New Roman" w:cs="Times New Roman"/>
          <w:color w:val="000000"/>
          <w:sz w:val="20"/>
          <w:szCs w:val="20"/>
          <w:lang w:val="en-GB"/>
        </w:rPr>
        <w:t>For a carrier with intra-cell guard band(s)</w:t>
      </w:r>
      <w:r w:rsidR="00477F67">
        <w:rPr>
          <w:rFonts w:ascii="Times New Roman" w:eastAsia="Malgun Gothic" w:hAnsi="Times New Roman" w:cs="Times New Roman"/>
          <w:color w:val="000000"/>
          <w:sz w:val="20"/>
          <w:szCs w:val="20"/>
          <w:lang w:val="en-GB"/>
        </w:rPr>
        <w:t xml:space="preserve"> </w:t>
      </w:r>
      <w:r w:rsidR="00B532F2">
        <w:rPr>
          <w:rFonts w:ascii="Times New Roman" w:eastAsia="Malgun Gothic" w:hAnsi="Times New Roman" w:cs="Times New Roman"/>
          <w:color w:val="FF0000"/>
          <w:sz w:val="20"/>
          <w:szCs w:val="20"/>
          <w:lang w:val="en-GB"/>
        </w:rPr>
        <w:t>or</w:t>
      </w:r>
      <w:r w:rsidR="00477F67">
        <w:rPr>
          <w:rFonts w:ascii="Times New Roman" w:eastAsia="Malgun Gothic" w:hAnsi="Times New Roman" w:cs="Times New Roman"/>
          <w:color w:val="FF0000"/>
          <w:sz w:val="20"/>
          <w:szCs w:val="20"/>
          <w:lang w:val="en-GB"/>
        </w:rPr>
        <w:t xml:space="preserve"> for a</w:t>
      </w:r>
      <w:r w:rsidR="00AC429C">
        <w:rPr>
          <w:rFonts w:ascii="Times New Roman" w:eastAsia="Malgun Gothic" w:hAnsi="Times New Roman" w:cs="Times New Roman"/>
          <w:color w:val="FF0000"/>
          <w:sz w:val="20"/>
          <w:szCs w:val="20"/>
          <w:lang w:val="en-GB"/>
        </w:rPr>
        <w:t>n</w:t>
      </w:r>
      <w:r w:rsidR="00477F67">
        <w:rPr>
          <w:rFonts w:ascii="Times New Roman" w:eastAsia="Malgun Gothic" w:hAnsi="Times New Roman" w:cs="Times New Roman"/>
          <w:color w:val="FF0000"/>
          <w:sz w:val="20"/>
          <w:szCs w:val="20"/>
          <w:lang w:val="en-GB"/>
        </w:rPr>
        <w:t xml:space="preserve"> </w:t>
      </w:r>
      <w:r w:rsidR="00AC429C">
        <w:rPr>
          <w:rFonts w:ascii="Times New Roman" w:eastAsia="Malgun Gothic" w:hAnsi="Times New Roman" w:cs="Times New Roman"/>
          <w:color w:val="FF0000"/>
          <w:sz w:val="20"/>
          <w:szCs w:val="20"/>
          <w:lang w:val="en-GB"/>
        </w:rPr>
        <w:t xml:space="preserve">UL </w:t>
      </w:r>
      <w:r w:rsidR="00477F67">
        <w:rPr>
          <w:rFonts w:ascii="Times New Roman" w:eastAsia="Malgun Gothic" w:hAnsi="Times New Roman" w:cs="Times New Roman"/>
          <w:color w:val="FF0000"/>
          <w:sz w:val="20"/>
          <w:szCs w:val="20"/>
          <w:lang w:val="en-GB"/>
        </w:rPr>
        <w:t xml:space="preserve">carrier with </w:t>
      </w:r>
      <m:oMath>
        <m:sSubSup>
          <m:sSubSupPr>
            <m:ctrlPr>
              <w:rPr>
                <w:rFonts w:ascii="Cambria Math" w:eastAsia="Malgun Gothic" w:hAnsi="Cambria Math" w:cs="Times New Roman"/>
                <w:i/>
                <w:color w:val="FF0000"/>
                <w:sz w:val="20"/>
                <w:szCs w:val="20"/>
                <w:lang w:val="en-GB"/>
              </w:rPr>
            </m:ctrlPr>
          </m:sSubSupPr>
          <m:e>
            <m:r>
              <w:rPr>
                <w:rFonts w:ascii="Cambria Math" w:eastAsia="Malgun Gothic" w:hAnsi="Cambria Math" w:cs="Times New Roman"/>
                <w:color w:val="FF0000"/>
                <w:sz w:val="20"/>
                <w:szCs w:val="20"/>
                <w:lang w:val="en-GB"/>
              </w:rPr>
              <m:t>N</m:t>
            </m:r>
          </m:e>
          <m:sub>
            <m:r>
              <m:rPr>
                <m:nor/>
              </m:rPr>
              <w:rPr>
                <w:rFonts w:ascii="Cambria Math" w:eastAsia="Malgun Gothic" w:hAnsi="Cambria Math" w:cs="Times New Roman"/>
                <w:color w:val="FF0000"/>
                <w:sz w:val="20"/>
                <w:szCs w:val="20"/>
                <w:lang w:val="en-GB"/>
              </w:rPr>
              <m:t>grid,UL</m:t>
            </m:r>
          </m:sub>
          <m:sup>
            <m:r>
              <m:rPr>
                <m:nor/>
              </m:rPr>
              <w:rPr>
                <w:rFonts w:ascii="Cambria Math" w:eastAsia="Malgun Gothic" w:hAnsi="Cambria Math" w:cs="Times New Roman"/>
                <w:color w:val="FF0000"/>
                <w:sz w:val="20"/>
                <w:szCs w:val="20"/>
                <w:lang w:val="en-GB"/>
              </w:rPr>
              <m:t>size</m:t>
            </m:r>
            <m:r>
              <w:rPr>
                <w:rFonts w:ascii="Cambria Math" w:eastAsia="Malgun Gothic" w:hAnsi="Cambria Math" w:cs="Times New Roman"/>
                <w:color w:val="FF0000"/>
                <w:sz w:val="20"/>
                <w:szCs w:val="20"/>
                <w:lang w:val="en-GB"/>
              </w:rPr>
              <m:t>,μ</m:t>
            </m:r>
          </m:sup>
        </m:sSubSup>
        <m:r>
          <w:rPr>
            <w:rFonts w:ascii="Cambria Math" w:eastAsia="Malgun Gothic" w:hAnsi="Cambria Math" w:cs="Times New Roman"/>
            <w:color w:val="FF0000"/>
            <w:sz w:val="20"/>
            <w:szCs w:val="20"/>
            <w:lang w:val="en-GB"/>
          </w:rPr>
          <m:t>≤</m:t>
        </m:r>
        <m:d>
          <m:dPr>
            <m:begChr m:val="{"/>
            <m:endChr m:val="}"/>
            <m:ctrlPr>
              <w:rPr>
                <w:rFonts w:ascii="Cambria Math" w:eastAsia="Malgun Gothic" w:hAnsi="Cambria Math" w:cs="Times New Roman"/>
                <w:i/>
                <w:color w:val="FF0000"/>
                <w:sz w:val="20"/>
                <w:szCs w:val="20"/>
                <w:lang w:val="en-GB"/>
              </w:rPr>
            </m:ctrlPr>
          </m:dPr>
          <m:e>
            <m:r>
              <w:rPr>
                <w:rFonts w:ascii="Cambria Math" w:eastAsia="Malgun Gothic" w:hAnsi="Cambria Math" w:cs="Times New Roman"/>
                <w:color w:val="FF0000"/>
                <w:sz w:val="20"/>
                <w:szCs w:val="20"/>
                <w:lang w:val="en-GB"/>
              </w:rPr>
              <m:t>106,51</m:t>
            </m:r>
          </m:e>
        </m:d>
      </m:oMath>
      <w:r w:rsidR="00B532F2">
        <w:rPr>
          <w:rFonts w:ascii="Times New Roman" w:eastAsia="Malgun Gothic" w:hAnsi="Times New Roman" w:cs="Times New Roman"/>
          <w:color w:val="FF0000"/>
          <w:sz w:val="20"/>
          <w:szCs w:val="20"/>
          <w:lang w:val="en-GB"/>
        </w:rPr>
        <w:t xml:space="preserve"> for </w:t>
      </w:r>
      <m:oMath>
        <m:r>
          <w:rPr>
            <w:rFonts w:ascii="Cambria Math" w:eastAsia="Malgun Gothic" w:hAnsi="Cambria Math" w:cs="Times New Roman"/>
            <w:color w:val="FF0000"/>
            <w:sz w:val="20"/>
            <w:szCs w:val="20"/>
            <w:lang w:val="en-GB"/>
          </w:rPr>
          <m:t>μ=</m:t>
        </m:r>
        <m:d>
          <m:dPr>
            <m:begChr m:val="{"/>
            <m:endChr m:val="}"/>
            <m:ctrlPr>
              <w:rPr>
                <w:rFonts w:ascii="Cambria Math" w:eastAsia="Malgun Gothic" w:hAnsi="Cambria Math" w:cs="Times New Roman"/>
                <w:i/>
                <w:color w:val="FF0000"/>
                <w:sz w:val="20"/>
                <w:szCs w:val="20"/>
                <w:lang w:val="en-GB"/>
              </w:rPr>
            </m:ctrlPr>
          </m:dPr>
          <m:e>
            <m:r>
              <w:rPr>
                <w:rFonts w:ascii="Cambria Math" w:eastAsia="Malgun Gothic" w:hAnsi="Cambria Math" w:cs="Times New Roman"/>
                <w:color w:val="FF0000"/>
                <w:sz w:val="20"/>
                <w:szCs w:val="20"/>
                <w:lang w:val="en-GB"/>
              </w:rPr>
              <m:t>0,1</m:t>
            </m:r>
          </m:e>
        </m:d>
      </m:oMath>
      <w:r w:rsidR="00B532F2">
        <w:rPr>
          <w:rFonts w:ascii="Times New Roman" w:eastAsia="Malgun Gothic" w:hAnsi="Times New Roman" w:cs="Times New Roman"/>
          <w:color w:val="FF0000"/>
          <w:sz w:val="20"/>
          <w:szCs w:val="20"/>
          <w:lang w:val="en-GB"/>
        </w:rPr>
        <w:t>, respectively</w:t>
      </w:r>
      <w:r w:rsidR="00AC429C">
        <w:rPr>
          <w:rFonts w:ascii="Times New Roman" w:eastAsia="Malgun Gothic" w:hAnsi="Times New Roman" w:cs="Times New Roman"/>
          <w:color w:val="FF0000"/>
          <w:sz w:val="20"/>
          <w:szCs w:val="20"/>
          <w:lang w:val="en-GB"/>
        </w:rPr>
        <w:t xml:space="preserve">, and </w:t>
      </w:r>
      <w:r w:rsidR="00AC429C" w:rsidRPr="00AC429C">
        <w:rPr>
          <w:rFonts w:ascii="Times New Roman" w:eastAsia="Batang" w:hAnsi="Times New Roman" w:cs="Times New Roman"/>
          <w:i/>
          <w:iCs/>
          <w:color w:val="FF0000"/>
          <w:sz w:val="20"/>
          <w:szCs w:val="20"/>
          <w:lang w:val="en-GB" w:eastAsia="ko-KR"/>
        </w:rPr>
        <w:t>useInterlacePUCCH-PUCCH</w:t>
      </w:r>
      <w:r w:rsidR="00AC429C" w:rsidRPr="00AC429C">
        <w:rPr>
          <w:rFonts w:ascii="Times New Roman" w:eastAsia="Batang" w:hAnsi="Times New Roman" w:cs="Times New Roman"/>
          <w:color w:val="FF0000"/>
          <w:sz w:val="20"/>
          <w:szCs w:val="20"/>
          <w:lang w:val="en-GB" w:eastAsia="ko-KR"/>
        </w:rPr>
        <w:t xml:space="preserve"> is configured in any of </w:t>
      </w:r>
      <w:r w:rsidR="00AC429C" w:rsidRPr="00AC429C">
        <w:rPr>
          <w:rFonts w:ascii="Times New Roman" w:eastAsia="Batang" w:hAnsi="Times New Roman" w:cs="Times New Roman"/>
          <w:i/>
          <w:iCs/>
          <w:color w:val="FF0000"/>
          <w:sz w:val="20"/>
          <w:szCs w:val="20"/>
          <w:lang w:val="en-GB" w:eastAsia="ko-KR"/>
        </w:rPr>
        <w:t>BWP-UplinkCommon</w:t>
      </w:r>
      <w:r w:rsidR="00AC429C" w:rsidRPr="00AC429C">
        <w:rPr>
          <w:rFonts w:ascii="Times New Roman" w:eastAsia="Batang" w:hAnsi="Times New Roman" w:cs="Times New Roman"/>
          <w:color w:val="FF0000"/>
          <w:sz w:val="20"/>
          <w:szCs w:val="20"/>
          <w:lang w:val="en-GB" w:eastAsia="ko-KR"/>
        </w:rPr>
        <w:t xml:space="preserve"> and </w:t>
      </w:r>
      <w:r w:rsidR="00AC429C" w:rsidRPr="00AC429C">
        <w:rPr>
          <w:rFonts w:ascii="Times New Roman" w:eastAsia="Batang" w:hAnsi="Times New Roman" w:cs="Times New Roman"/>
          <w:i/>
          <w:iCs/>
          <w:color w:val="FF0000"/>
          <w:sz w:val="20"/>
          <w:szCs w:val="20"/>
          <w:lang w:val="en-GB" w:eastAsia="ko-KR"/>
        </w:rPr>
        <w:t>BWP-UplinkDedicated</w:t>
      </w:r>
      <w:r w:rsidRPr="00215266">
        <w:rPr>
          <w:rFonts w:ascii="Times New Roman" w:eastAsia="Malgun Gothic" w:hAnsi="Times New Roman" w:cs="Times New Roman"/>
          <w:color w:val="000000"/>
          <w:sz w:val="20"/>
          <w:szCs w:val="20"/>
          <w:lang w:val="en-GB"/>
        </w:rPr>
        <w:t xml:space="preserve">, the UE </w:t>
      </w:r>
      <w:r w:rsidRPr="00215266">
        <w:rPr>
          <w:rFonts w:ascii="Times New Roman" w:eastAsia="Times New Roman" w:hAnsi="Times New Roman" w:cs="Times New Roman"/>
          <w:color w:val="000000"/>
          <w:sz w:val="20"/>
          <w:szCs w:val="20"/>
          <w:lang w:val="en-GB"/>
        </w:rPr>
        <w:t xml:space="preserve">expects </w:t>
      </w:r>
      <m:oMath>
        <m:r>
          <w:rPr>
            <w:rFonts w:ascii="Cambria Math" w:eastAsia="Malgun Gothic" w:hAnsi="Cambria Math" w:cs="Times New Roman"/>
            <w:sz w:val="20"/>
            <w:szCs w:val="20"/>
          </w:rPr>
          <m:t xml:space="preserve"> </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N</m:t>
            </m:r>
          </m:e>
          <m:sub>
            <m:r>
              <w:rPr>
                <w:rFonts w:ascii="Cambria Math" w:eastAsia="Malgun Gothic" w:hAnsi="Cambria Math" w:cs="Times New Roman"/>
                <w:sz w:val="20"/>
                <w:szCs w:val="20"/>
              </w:rPr>
              <m:t xml:space="preserve"> BWP,i</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lang w:val="en-GB"/>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RB</m:t>
            </m:r>
          </m:e>
          <m:sub>
            <m:r>
              <w:rPr>
                <w:rFonts w:ascii="Cambria Math" w:eastAsia="Malgun Gothic" w:hAnsi="Cambria Math" w:cs="Times New Roman"/>
                <w:sz w:val="20"/>
                <w:szCs w:val="20"/>
              </w:rPr>
              <m:t xml:space="preserve"> s0,x</m:t>
            </m:r>
          </m:sub>
          <m:sup>
            <m:r>
              <w:rPr>
                <w:rFonts w:ascii="Cambria Math" w:eastAsia="Malgun Gothic" w:hAnsi="Cambria Math" w:cs="Times New Roman"/>
                <w:sz w:val="20"/>
                <w:szCs w:val="20"/>
              </w:rPr>
              <m:t>start,μ</m:t>
            </m:r>
          </m:sup>
        </m:sSubSup>
      </m:oMath>
      <w:r w:rsidRPr="00215266">
        <w:rPr>
          <w:rFonts w:ascii="Times New Roman" w:eastAsia="Times New Roman" w:hAnsi="Times New Roman" w:cs="Times New Roman"/>
          <w:color w:val="000000"/>
          <w:sz w:val="20"/>
          <w:szCs w:val="20"/>
          <w:lang w:val="en-GB"/>
        </w:rPr>
        <w:t xml:space="preserve">, and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N</m:t>
            </m:r>
          </m:e>
          <m:sub>
            <m:r>
              <w:rPr>
                <w:rFonts w:ascii="Cambria Math" w:eastAsia="Malgun Gothic" w:hAnsi="Cambria Math" w:cs="Times New Roman"/>
                <w:sz w:val="20"/>
                <w:szCs w:val="20"/>
              </w:rPr>
              <m:t xml:space="preserve"> BWP,i</m:t>
            </m:r>
          </m:sub>
          <m:sup>
            <m:r>
              <w:rPr>
                <w:rFonts w:ascii="Cambria Math" w:eastAsia="Malgun Gothic" w:hAnsi="Cambria Math" w:cs="Times New Roman"/>
                <w:sz w:val="20"/>
                <w:szCs w:val="20"/>
              </w:rPr>
              <m:t>size,μ</m:t>
            </m:r>
          </m:sup>
        </m:sSubSup>
        <m:r>
          <w:rPr>
            <w:rFonts w:ascii="Cambria Math" w:eastAsia="Malgun Gothic" w:hAnsi="Cambria Math" w:cs="Times New Roman"/>
            <w:sz w:val="20"/>
            <w:szCs w:val="20"/>
            <w:lang w:val="en-GB"/>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RB</m:t>
            </m:r>
          </m:e>
          <m:sub>
            <m:r>
              <w:rPr>
                <w:rFonts w:ascii="Cambria Math" w:eastAsia="Malgun Gothic" w:hAnsi="Cambria Math" w:cs="Times New Roman"/>
                <w:sz w:val="20"/>
                <w:szCs w:val="20"/>
              </w:rPr>
              <m:t xml:space="preserve"> s1,x</m:t>
            </m:r>
          </m:sub>
          <m:sup>
            <m:r>
              <w:rPr>
                <w:rFonts w:ascii="Cambria Math" w:eastAsia="Malgun Gothic" w:hAnsi="Cambria Math" w:cs="Times New Roman"/>
                <w:sz w:val="20"/>
                <w:szCs w:val="20"/>
              </w:rPr>
              <m:t>end,μ</m:t>
            </m:r>
          </m:sup>
        </m:sSubSup>
        <m:r>
          <w:rPr>
            <w:rFonts w:ascii="Cambria Math" w:eastAsia="Malgun Gothic" w:hAnsi="Cambria Math" w:cs="Times New Roman"/>
            <w:sz w:val="20"/>
            <w:szCs w:val="20"/>
            <w:lang w:val="en-GB"/>
          </w:rPr>
          <m:t>-</m:t>
        </m:r>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rPr>
              <m:t>RB</m:t>
            </m:r>
          </m:e>
          <m:sub>
            <m:r>
              <w:rPr>
                <w:rFonts w:ascii="Cambria Math" w:eastAsia="Malgun Gothic" w:hAnsi="Cambria Math" w:cs="Times New Roman"/>
                <w:sz w:val="20"/>
                <w:szCs w:val="20"/>
              </w:rPr>
              <m:t xml:space="preserve"> s0,x</m:t>
            </m:r>
          </m:sub>
          <m:sup>
            <m:r>
              <w:rPr>
                <w:rFonts w:ascii="Cambria Math" w:eastAsia="Malgun Gothic" w:hAnsi="Cambria Math" w:cs="Times New Roman"/>
                <w:sz w:val="20"/>
                <w:szCs w:val="20"/>
              </w:rPr>
              <m:t>start,μ</m:t>
            </m:r>
          </m:sup>
        </m:sSubSup>
        <m:r>
          <w:rPr>
            <w:rFonts w:ascii="Cambria Math" w:eastAsia="Malgun Gothic" w:hAnsi="Cambria Math" w:cs="Times New Roman"/>
            <w:sz w:val="20"/>
            <w:szCs w:val="20"/>
            <w:lang w:val="en-GB"/>
          </w:rPr>
          <m:t>+1</m:t>
        </m:r>
      </m:oMath>
      <w:r w:rsidRPr="00215266">
        <w:rPr>
          <w:rFonts w:ascii="Times New Roman" w:eastAsia="Times New Roman" w:hAnsi="Times New Roman" w:cs="Times New Roman"/>
          <w:color w:val="000000"/>
          <w:sz w:val="20"/>
          <w:szCs w:val="20"/>
          <w:lang w:val="en-GB"/>
        </w:rPr>
        <w:t xml:space="preserve"> where </w:t>
      </w:r>
      <m:oMath>
        <m:r>
          <w:rPr>
            <w:rFonts w:ascii="Cambria Math" w:eastAsia="Times New Roman" w:hAnsi="Cambria Math" w:cs="Times New Roman"/>
            <w:color w:val="000000"/>
            <w:sz w:val="20"/>
            <w:szCs w:val="20"/>
            <w:lang w:val="en-GB"/>
          </w:rPr>
          <m:t>0≤s0≤s1≤</m:t>
        </m:r>
        <m:sSub>
          <m:sSubPr>
            <m:ctrlPr>
              <w:rPr>
                <w:rFonts w:ascii="Cambria Math" w:eastAsia="Times New Roman" w:hAnsi="Cambria Math" w:cs="Times New Roman"/>
                <w:i/>
                <w:color w:val="000000"/>
                <w:sz w:val="20"/>
                <w:szCs w:val="20"/>
                <w:lang w:val="en-GB"/>
              </w:rPr>
            </m:ctrlPr>
          </m:sSubPr>
          <m:e>
            <m:r>
              <w:rPr>
                <w:rFonts w:ascii="Cambria Math" w:eastAsia="Times New Roman" w:hAnsi="Cambria Math" w:cs="Times New Roman"/>
                <w:color w:val="000000"/>
                <w:sz w:val="20"/>
                <w:szCs w:val="20"/>
                <w:lang w:val="en-GB"/>
              </w:rPr>
              <m:t>N</m:t>
            </m:r>
          </m:e>
          <m:sub>
            <m:r>
              <w:rPr>
                <w:rFonts w:ascii="Cambria Math" w:eastAsia="Times New Roman" w:hAnsi="Cambria Math" w:cs="Times New Roman"/>
                <w:color w:val="000000"/>
                <w:sz w:val="20"/>
                <w:szCs w:val="20"/>
                <w:lang w:val="en-GB"/>
              </w:rPr>
              <m:t>RB-set,x</m:t>
            </m:r>
          </m:sub>
        </m:sSub>
        <m:r>
          <w:rPr>
            <w:rFonts w:ascii="Cambria Math" w:eastAsia="Times New Roman" w:hAnsi="Cambria Math" w:cs="Times New Roman"/>
            <w:color w:val="000000"/>
            <w:sz w:val="20"/>
            <w:szCs w:val="20"/>
            <w:lang w:val="en-GB"/>
          </w:rPr>
          <m:t>-1</m:t>
        </m:r>
      </m:oMath>
      <w:r w:rsidR="00B532F2">
        <w:rPr>
          <w:rFonts w:ascii="Times New Roman" w:eastAsia="Times New Roman" w:hAnsi="Times New Roman" w:cs="Times New Roman"/>
          <w:color w:val="000000"/>
          <w:sz w:val="20"/>
          <w:szCs w:val="20"/>
          <w:lang w:val="en-GB"/>
        </w:rPr>
        <w:t xml:space="preserve"> </w:t>
      </w:r>
      <w:r w:rsidRPr="00215266">
        <w:rPr>
          <w:rFonts w:ascii="Times New Roman" w:eastAsia="Times New Roman" w:hAnsi="Times New Roman" w:cs="Times New Roman"/>
          <w:color w:val="000000"/>
          <w:sz w:val="20"/>
          <w:szCs w:val="20"/>
          <w:lang w:val="en-GB"/>
        </w:rPr>
        <w:t xml:space="preserve">for </w:t>
      </w:r>
      <w:r w:rsidRPr="00215266">
        <w:rPr>
          <w:rFonts w:ascii="Times New Roman" w:eastAsia="Malgun Gothic" w:hAnsi="Times New Roman" w:cs="Times New Roman"/>
          <w:color w:val="000000"/>
          <w:sz w:val="20"/>
          <w:szCs w:val="20"/>
          <w:lang w:val="en-GB"/>
        </w:rPr>
        <w:t xml:space="preserve">a BWP </w:t>
      </w:r>
      <w:r w:rsidRPr="00215266">
        <w:rPr>
          <w:rFonts w:ascii="Times New Roman" w:eastAsia="Malgun Gothic" w:hAnsi="Times New Roman" w:cs="Times New Roman"/>
          <w:i/>
          <w:color w:val="000000"/>
          <w:sz w:val="20"/>
          <w:szCs w:val="20"/>
          <w:lang w:val="en-GB"/>
        </w:rPr>
        <w:t>i</w:t>
      </w:r>
      <w:r w:rsidRPr="00215266">
        <w:rPr>
          <w:rFonts w:ascii="Times New Roman" w:eastAsia="Malgun Gothic" w:hAnsi="Times New Roman" w:cs="Times New Roman"/>
          <w:color w:val="000000"/>
          <w:sz w:val="20"/>
          <w:szCs w:val="20"/>
          <w:lang w:val="en-GB"/>
        </w:rPr>
        <w:t xml:space="preserve"> configured by </w:t>
      </w:r>
      <w:r w:rsidRPr="00215266">
        <w:rPr>
          <w:rFonts w:ascii="Times New Roman" w:eastAsia="Malgun Gothic" w:hAnsi="Times New Roman" w:cs="Times New Roman"/>
          <w:i/>
          <w:color w:val="000000"/>
          <w:sz w:val="20"/>
          <w:szCs w:val="20"/>
          <w:lang w:val="en-GB"/>
        </w:rPr>
        <w:t>BWP-Downlink</w:t>
      </w:r>
      <w:r w:rsidRPr="00215266">
        <w:rPr>
          <w:rFonts w:ascii="Times New Roman" w:eastAsia="Malgun Gothic" w:hAnsi="Times New Roman" w:cs="Times New Roman"/>
          <w:color w:val="000000"/>
          <w:sz w:val="20"/>
          <w:szCs w:val="20"/>
          <w:lang w:val="en-GB"/>
        </w:rPr>
        <w:t xml:space="preserve"> or </w:t>
      </w:r>
      <w:r w:rsidRPr="00215266">
        <w:rPr>
          <w:rFonts w:ascii="Times New Roman" w:eastAsia="Malgun Gothic" w:hAnsi="Times New Roman" w:cs="Times New Roman"/>
          <w:i/>
          <w:color w:val="000000"/>
          <w:sz w:val="20"/>
          <w:szCs w:val="20"/>
          <w:lang w:val="en-GB"/>
        </w:rPr>
        <w:t>BWP-Uplink</w:t>
      </w:r>
      <w:r w:rsidRPr="00215266">
        <w:rPr>
          <w:rFonts w:ascii="Times New Roman" w:eastAsia="Malgun Gothic" w:hAnsi="Times New Roman" w:cs="Times New Roman"/>
          <w:color w:val="000000"/>
          <w:sz w:val="20"/>
          <w:szCs w:val="20"/>
          <w:lang w:val="en-GB"/>
        </w:rPr>
        <w:t>.</w:t>
      </w:r>
      <w:r w:rsidRPr="00215266">
        <w:rPr>
          <w:rFonts w:ascii="Times New Roman" w:eastAsia="Malgun Gothic" w:hAnsi="Times New Roman" w:cs="Times New Roman"/>
          <w:color w:val="000000"/>
          <w:sz w:val="20"/>
          <w:szCs w:val="20"/>
        </w:rPr>
        <w:t xml:space="preserve">  Within the BWP </w:t>
      </w:r>
      <w:r w:rsidRPr="00215266">
        <w:rPr>
          <w:rFonts w:ascii="Times New Roman" w:eastAsia="Malgun Gothic" w:hAnsi="Times New Roman" w:cs="Times New Roman"/>
          <w:i/>
          <w:color w:val="000000"/>
          <w:sz w:val="20"/>
          <w:szCs w:val="20"/>
        </w:rPr>
        <w:t>i</w:t>
      </w:r>
      <w:r w:rsidRPr="00215266">
        <w:rPr>
          <w:rFonts w:ascii="Times New Roman" w:eastAsia="Malgun Gothic" w:hAnsi="Times New Roman" w:cs="Times New Roman"/>
          <w:color w:val="000000"/>
          <w:sz w:val="20"/>
          <w:szCs w:val="20"/>
        </w:rPr>
        <w:t>, RB sets</w:t>
      </w:r>
      <w:r w:rsidRPr="00215266">
        <w:rPr>
          <w:rFonts w:ascii="Times New Roman" w:eastAsia="Malgun Gothic" w:hAnsi="Times New Roman" w:cs="Times New Roman"/>
          <w:color w:val="000000"/>
          <w:sz w:val="20"/>
          <w:szCs w:val="20"/>
          <w:lang w:val="en-GB"/>
        </w:rPr>
        <w:t xml:space="preserve"> </w:t>
      </w:r>
      <w:r w:rsidRPr="00215266">
        <w:rPr>
          <w:rFonts w:ascii="Times New Roman" w:eastAsia="Malgun Gothic" w:hAnsi="Times New Roman" w:cs="Times New Roman"/>
          <w:color w:val="000000"/>
          <w:sz w:val="20"/>
          <w:szCs w:val="20"/>
        </w:rPr>
        <w:t xml:space="preserve">are numbered in increasing order from 0 to </w:t>
      </w:r>
      <m:oMath>
        <m:sSubSup>
          <m:sSubSupPr>
            <m:ctrlPr>
              <w:rPr>
                <w:rFonts w:ascii="Cambria Math" w:eastAsia="Times New Roman" w:hAnsi="Cambria Math" w:cs="Times New Roman"/>
                <w:i/>
                <w:color w:val="000000"/>
                <w:sz w:val="20"/>
                <w:szCs w:val="20"/>
                <w:lang w:val="en-GB"/>
              </w:rPr>
            </m:ctrlPr>
          </m:sSubSupPr>
          <m:e>
            <m:r>
              <w:rPr>
                <w:rFonts w:ascii="Cambria Math" w:eastAsia="Times New Roman" w:hAnsi="Cambria Math" w:cs="Times New Roman"/>
                <w:color w:val="000000"/>
                <w:sz w:val="20"/>
                <w:szCs w:val="20"/>
                <w:lang w:val="en-GB"/>
              </w:rPr>
              <m:t>N</m:t>
            </m:r>
          </m:e>
          <m:sub>
            <m:r>
              <w:rPr>
                <w:rFonts w:ascii="Cambria Math" w:eastAsia="Times New Roman" w:hAnsi="Cambria Math" w:cs="Times New Roman"/>
                <w:color w:val="000000"/>
                <w:sz w:val="20"/>
                <w:szCs w:val="20"/>
                <w:lang w:val="en-GB"/>
              </w:rPr>
              <m:t>RB-set,x</m:t>
            </m:r>
          </m:sub>
          <m:sup>
            <m:r>
              <w:rPr>
                <w:rFonts w:ascii="Cambria Math" w:eastAsia="Times New Roman" w:hAnsi="Cambria Math" w:cs="Times New Roman"/>
                <w:color w:val="000000"/>
                <w:sz w:val="20"/>
                <w:szCs w:val="20"/>
                <w:lang w:val="en-GB"/>
              </w:rPr>
              <m:t>BWP</m:t>
            </m:r>
          </m:sup>
        </m:sSubSup>
        <m:r>
          <w:rPr>
            <w:rFonts w:ascii="Cambria Math" w:eastAsia="Times New Roman" w:hAnsi="Cambria Math" w:cs="Times New Roman"/>
            <w:color w:val="000000"/>
            <w:sz w:val="20"/>
            <w:szCs w:val="20"/>
            <w:lang w:val="en-GB"/>
          </w:rPr>
          <m:t>-1</m:t>
        </m:r>
      </m:oMath>
      <w:r w:rsidRPr="00215266">
        <w:rPr>
          <w:rFonts w:ascii="Times New Roman" w:eastAsia="Malgun Gothic" w:hAnsi="Times New Roman" w:cs="Times New Roman" w:hint="eastAsia"/>
          <w:color w:val="000000"/>
          <w:sz w:val="20"/>
          <w:szCs w:val="20"/>
          <w:lang w:eastAsia="ko-KR"/>
        </w:rPr>
        <w:t xml:space="preserve"> where </w:t>
      </w:r>
      <m:oMath>
        <m:sSubSup>
          <m:sSubSupPr>
            <m:ctrlPr>
              <w:rPr>
                <w:rFonts w:ascii="Cambria Math" w:eastAsia="Times New Roman" w:hAnsi="Cambria Math" w:cs="Times New Roman"/>
                <w:i/>
                <w:color w:val="000000"/>
                <w:sz w:val="20"/>
                <w:szCs w:val="20"/>
                <w:lang w:val="en-GB"/>
              </w:rPr>
            </m:ctrlPr>
          </m:sSubSupPr>
          <m:e>
            <m:r>
              <w:rPr>
                <w:rFonts w:ascii="Cambria Math" w:eastAsia="Times New Roman" w:hAnsi="Cambria Math" w:cs="Times New Roman"/>
                <w:color w:val="000000"/>
                <w:sz w:val="20"/>
                <w:szCs w:val="20"/>
                <w:lang w:val="en-GB"/>
              </w:rPr>
              <m:t>N</m:t>
            </m:r>
          </m:e>
          <m:sub>
            <m:r>
              <w:rPr>
                <w:rFonts w:ascii="Cambria Math" w:eastAsia="Times New Roman" w:hAnsi="Cambria Math" w:cs="Times New Roman"/>
                <w:color w:val="000000"/>
                <w:sz w:val="20"/>
                <w:szCs w:val="20"/>
                <w:lang w:val="en-GB"/>
              </w:rPr>
              <m:t>RB-set,x</m:t>
            </m:r>
          </m:sub>
          <m:sup>
            <m:r>
              <w:rPr>
                <w:rFonts w:ascii="Cambria Math" w:eastAsia="Times New Roman" w:hAnsi="Cambria Math" w:cs="Times New Roman"/>
                <w:color w:val="000000"/>
                <w:sz w:val="20"/>
                <w:szCs w:val="20"/>
                <w:lang w:val="en-GB"/>
              </w:rPr>
              <m:t>BWP</m:t>
            </m:r>
          </m:sup>
        </m:sSubSup>
      </m:oMath>
      <w:r w:rsidRPr="00215266">
        <w:rPr>
          <w:rFonts w:ascii="Times New Roman" w:eastAsia="Malgun Gothic" w:hAnsi="Times New Roman" w:cs="Times New Roman" w:hint="eastAsia"/>
          <w:color w:val="000000"/>
          <w:sz w:val="20"/>
          <w:szCs w:val="20"/>
          <w:lang w:val="en-GB" w:eastAsia="ko-KR"/>
        </w:rPr>
        <w:t xml:space="preserve"> </w:t>
      </w:r>
      <w:r w:rsidRPr="00215266">
        <w:rPr>
          <w:rFonts w:ascii="Times New Roman" w:eastAsia="Malgun Gothic" w:hAnsi="Times New Roman" w:cs="Times New Roman"/>
          <w:color w:val="000000"/>
          <w:sz w:val="20"/>
          <w:szCs w:val="20"/>
          <w:lang w:val="en-GB" w:eastAsia="ko-KR"/>
        </w:rPr>
        <w:t xml:space="preserve">is the number of RB sets contained in the BWP </w:t>
      </w:r>
      <w:r w:rsidRPr="00215266">
        <w:rPr>
          <w:rFonts w:ascii="Times New Roman" w:eastAsia="Malgun Gothic" w:hAnsi="Times New Roman" w:cs="Times New Roman"/>
          <w:i/>
          <w:color w:val="000000"/>
          <w:sz w:val="20"/>
          <w:szCs w:val="20"/>
          <w:lang w:val="en-GB" w:eastAsia="ko-KR"/>
        </w:rPr>
        <w:t>i</w:t>
      </w:r>
      <w:r w:rsidRPr="00215266">
        <w:rPr>
          <w:rFonts w:ascii="Times New Roman" w:eastAsia="Malgun Gothic" w:hAnsi="Times New Roman" w:cs="Times New Roman"/>
          <w:color w:val="000000"/>
          <w:sz w:val="20"/>
          <w:szCs w:val="20"/>
          <w:lang w:val="en-GB" w:eastAsia="ko-KR"/>
        </w:rPr>
        <w:t xml:space="preserve"> and RB set 0 within the BWP </w:t>
      </w:r>
      <w:r w:rsidRPr="00215266">
        <w:rPr>
          <w:rFonts w:ascii="Times New Roman" w:eastAsia="Malgun Gothic" w:hAnsi="Times New Roman" w:cs="Times New Roman"/>
          <w:i/>
          <w:color w:val="000000"/>
          <w:sz w:val="20"/>
          <w:szCs w:val="20"/>
          <w:lang w:val="en-GB" w:eastAsia="ko-KR"/>
        </w:rPr>
        <w:t>i</w:t>
      </w:r>
      <w:r w:rsidRPr="00215266">
        <w:rPr>
          <w:rFonts w:ascii="Times New Roman" w:eastAsia="Malgun Gothic" w:hAnsi="Times New Roman" w:cs="Times New Roman"/>
          <w:color w:val="000000"/>
          <w:sz w:val="20"/>
          <w:szCs w:val="20"/>
          <w:lang w:val="en-GB" w:eastAsia="ko-KR"/>
        </w:rPr>
        <w:t xml:space="preserve"> corresponds to RB set</w:t>
      </w:r>
      <w:r w:rsidRPr="00215266">
        <w:rPr>
          <w:rFonts w:ascii="Times New Roman" w:eastAsia="Malgun Gothic" w:hAnsi="Times New Roman" w:cs="Times New Roman"/>
          <w:color w:val="000000"/>
          <w:sz w:val="20"/>
          <w:szCs w:val="20"/>
        </w:rPr>
        <w:t xml:space="preserve"> </w:t>
      </w:r>
      <m:oMath>
        <m:r>
          <w:rPr>
            <w:rFonts w:ascii="Cambria Math" w:eastAsia="Times New Roman" w:hAnsi="Cambria Math" w:cs="Times New Roman"/>
            <w:color w:val="000000"/>
            <w:sz w:val="20"/>
            <w:szCs w:val="20"/>
            <w:lang w:val="en-GB"/>
          </w:rPr>
          <m:t>s0</m:t>
        </m:r>
      </m:oMath>
      <w:r w:rsidRPr="00215266">
        <w:rPr>
          <w:rFonts w:ascii="Times New Roman" w:eastAsia="Malgun Gothic" w:hAnsi="Times New Roman" w:cs="Times New Roman"/>
          <w:color w:val="000000"/>
          <w:sz w:val="20"/>
          <w:szCs w:val="20"/>
          <w:lang w:val="en-GB"/>
        </w:rPr>
        <w:t xml:space="preserve"> in the carrier and RB set </w:t>
      </w:r>
      <m:oMath>
        <m:sSubSup>
          <m:sSubSupPr>
            <m:ctrlPr>
              <w:rPr>
                <w:rFonts w:ascii="Cambria Math" w:eastAsia="Times New Roman" w:hAnsi="Cambria Math" w:cs="Times New Roman"/>
                <w:i/>
                <w:color w:val="000000"/>
                <w:sz w:val="20"/>
                <w:szCs w:val="20"/>
                <w:lang w:val="en-GB"/>
              </w:rPr>
            </m:ctrlPr>
          </m:sSubSupPr>
          <m:e>
            <m:r>
              <w:rPr>
                <w:rFonts w:ascii="Cambria Math" w:eastAsia="Times New Roman" w:hAnsi="Cambria Math" w:cs="Times New Roman"/>
                <w:color w:val="000000"/>
                <w:sz w:val="20"/>
                <w:szCs w:val="20"/>
                <w:lang w:val="en-GB"/>
              </w:rPr>
              <m:t>N</m:t>
            </m:r>
          </m:e>
          <m:sub>
            <m:r>
              <w:rPr>
                <w:rFonts w:ascii="Cambria Math" w:eastAsia="Times New Roman" w:hAnsi="Cambria Math" w:cs="Times New Roman"/>
                <w:color w:val="000000"/>
                <w:sz w:val="20"/>
                <w:szCs w:val="20"/>
                <w:lang w:val="en-GB"/>
              </w:rPr>
              <m:t>RB-set,x</m:t>
            </m:r>
          </m:sub>
          <m:sup>
            <m:r>
              <w:rPr>
                <w:rFonts w:ascii="Cambria Math" w:eastAsia="Times New Roman" w:hAnsi="Cambria Math" w:cs="Times New Roman"/>
                <w:color w:val="000000"/>
                <w:sz w:val="20"/>
                <w:szCs w:val="20"/>
                <w:lang w:val="en-GB"/>
              </w:rPr>
              <m:t>BWP</m:t>
            </m:r>
          </m:sup>
        </m:sSubSup>
        <m:r>
          <m:rPr>
            <m:sty m:val="p"/>
          </m:rPr>
          <w:rPr>
            <w:rFonts w:ascii="Cambria Math" w:eastAsia="Malgun Gothic" w:hAnsi="Cambria Math" w:cs="Times New Roman"/>
            <w:color w:val="000000"/>
            <w:sz w:val="20"/>
            <w:szCs w:val="20"/>
            <w:lang w:val="en-GB"/>
          </w:rPr>
          <m:t>-1</m:t>
        </m:r>
      </m:oMath>
      <w:r w:rsidRPr="00215266">
        <w:rPr>
          <w:rFonts w:ascii="Times New Roman" w:eastAsia="Malgun Gothic" w:hAnsi="Times New Roman" w:cs="Times New Roman" w:hint="eastAsia"/>
          <w:color w:val="000000"/>
          <w:sz w:val="20"/>
          <w:szCs w:val="20"/>
          <w:lang w:val="en-GB" w:eastAsia="ko-KR"/>
        </w:rPr>
        <w:t xml:space="preserve"> </w:t>
      </w:r>
      <w:r w:rsidRPr="00215266">
        <w:rPr>
          <w:rFonts w:ascii="Times New Roman" w:eastAsia="Malgun Gothic" w:hAnsi="Times New Roman" w:cs="Times New Roman"/>
          <w:color w:val="000000"/>
          <w:sz w:val="20"/>
          <w:szCs w:val="20"/>
          <w:lang w:val="en-GB" w:eastAsia="ko-KR"/>
        </w:rPr>
        <w:t xml:space="preserve">within the BWP </w:t>
      </w:r>
      <w:r w:rsidRPr="00215266">
        <w:rPr>
          <w:rFonts w:ascii="Times New Roman" w:eastAsia="Malgun Gothic" w:hAnsi="Times New Roman" w:cs="Times New Roman"/>
          <w:i/>
          <w:color w:val="000000"/>
          <w:sz w:val="20"/>
          <w:szCs w:val="20"/>
          <w:lang w:val="en-GB" w:eastAsia="ko-KR"/>
        </w:rPr>
        <w:t>i</w:t>
      </w:r>
      <w:r w:rsidRPr="00215266">
        <w:rPr>
          <w:rFonts w:ascii="Times New Roman" w:eastAsia="Malgun Gothic" w:hAnsi="Times New Roman" w:cs="Times New Roman"/>
          <w:color w:val="000000"/>
          <w:sz w:val="20"/>
          <w:szCs w:val="20"/>
          <w:lang w:val="en-GB" w:eastAsia="ko-KR"/>
        </w:rPr>
        <w:t xml:space="preserve"> corresponds </w:t>
      </w:r>
      <w:r w:rsidRPr="00215266">
        <w:rPr>
          <w:rFonts w:ascii="Times New Roman" w:eastAsia="Malgun Gothic" w:hAnsi="Times New Roman" w:cs="Times New Roman"/>
          <w:color w:val="000000"/>
          <w:sz w:val="20"/>
          <w:szCs w:val="20"/>
          <w:lang w:val="en-GB"/>
        </w:rPr>
        <w:t xml:space="preserve">to RB set </w:t>
      </w:r>
      <m:oMath>
        <m:r>
          <w:rPr>
            <w:rFonts w:ascii="Cambria Math" w:eastAsia="Times New Roman" w:hAnsi="Cambria Math" w:cs="Times New Roman"/>
            <w:color w:val="000000"/>
            <w:sz w:val="20"/>
            <w:szCs w:val="20"/>
            <w:lang w:val="en-GB"/>
          </w:rPr>
          <m:t>s1</m:t>
        </m:r>
      </m:oMath>
      <w:r w:rsidRPr="00215266">
        <w:rPr>
          <w:rFonts w:ascii="Times New Roman" w:eastAsia="Malgun Gothic" w:hAnsi="Times New Roman" w:cs="Times New Roman" w:hint="eastAsia"/>
          <w:color w:val="000000"/>
          <w:sz w:val="20"/>
          <w:szCs w:val="20"/>
          <w:lang w:val="en-GB" w:eastAsia="ko-KR"/>
        </w:rPr>
        <w:t xml:space="preserve"> in the carrier</w:t>
      </w:r>
      <w:r w:rsidRPr="00215266">
        <w:rPr>
          <w:rFonts w:ascii="Times New Roman" w:eastAsia="Malgun Gothic" w:hAnsi="Times New Roman" w:cs="Times New Roman"/>
          <w:color w:val="000000"/>
          <w:sz w:val="20"/>
          <w:szCs w:val="20"/>
        </w:rPr>
        <w:t>.</w:t>
      </w:r>
    </w:p>
    <w:p w14:paraId="79EBEB75" w14:textId="3B14FA0F" w:rsidR="00215266" w:rsidRPr="00C5236B" w:rsidRDefault="00215266" w:rsidP="00215266">
      <w:pPr>
        <w:spacing w:after="180" w:line="240" w:lineRule="auto"/>
        <w:rPr>
          <w:rFonts w:ascii="Times New Roman" w:eastAsia="Malgun Gothic" w:hAnsi="Times New Roman" w:cs="Times New Roman"/>
          <w:sz w:val="20"/>
          <w:szCs w:val="20"/>
        </w:rPr>
      </w:pPr>
      <w:r w:rsidRPr="00215266">
        <w:rPr>
          <w:rFonts w:ascii="Times New Roman" w:eastAsia="Malgun Gothic" w:hAnsi="Times New Roman" w:cs="Times New Roman"/>
          <w:sz w:val="20"/>
          <w:szCs w:val="20"/>
        </w:rPr>
        <w:t xml:space="preserve">[The configuration of </w:t>
      </w:r>
      <w:r w:rsidRPr="00215266">
        <w:rPr>
          <w:rFonts w:ascii="Times New Roman" w:eastAsia="Malgun Gothic" w:hAnsi="Times New Roman" w:cs="Times New Roman"/>
          <w:i/>
          <w:iCs/>
          <w:sz w:val="20"/>
          <w:szCs w:val="20"/>
        </w:rPr>
        <w:t>intraCellGuardBandDL-r16</w:t>
      </w:r>
      <w:r w:rsidRPr="00215266">
        <w:rPr>
          <w:rFonts w:ascii="Times New Roman" w:eastAsia="Malgun Gothic" w:hAnsi="Times New Roman" w:cs="Times New Roman"/>
          <w:sz w:val="20"/>
          <w:szCs w:val="20"/>
        </w:rPr>
        <w:t xml:space="preserve"> and </w:t>
      </w:r>
      <w:r w:rsidRPr="00215266">
        <w:rPr>
          <w:rFonts w:ascii="Times New Roman" w:eastAsia="Malgun Gothic" w:hAnsi="Times New Roman" w:cs="Times New Roman"/>
          <w:i/>
          <w:iCs/>
          <w:sz w:val="20"/>
          <w:szCs w:val="20"/>
        </w:rPr>
        <w:t>intraCellGuardBandUL-r16</w:t>
      </w:r>
      <w:r w:rsidRPr="00215266">
        <w:rPr>
          <w:rFonts w:ascii="Times New Roman" w:eastAsia="Malgun Gothic" w:hAnsi="Times New Roman" w:cs="Times New Roman"/>
          <w:sz w:val="20"/>
          <w:szCs w:val="20"/>
        </w:rPr>
        <w:t xml:space="preserve"> can indicate to the UE that no intra-cell guard-bands are configured.]</w:t>
      </w:r>
    </w:p>
    <w:p w14:paraId="1AAB4D10" w14:textId="77777777" w:rsidR="00215266" w:rsidRPr="00E123FC" w:rsidRDefault="00215266" w:rsidP="00215266">
      <w:pPr>
        <w:pStyle w:val="BodyText"/>
        <w:jc w:val="center"/>
        <w:rPr>
          <w:color w:val="FF0000"/>
          <w:sz w:val="20"/>
          <w:szCs w:val="20"/>
        </w:rPr>
      </w:pPr>
      <w:r w:rsidRPr="00886F89">
        <w:rPr>
          <w:color w:val="FF0000"/>
          <w:sz w:val="20"/>
          <w:szCs w:val="20"/>
        </w:rPr>
        <w:t>*** Unchanged text omitted ***</w:t>
      </w:r>
    </w:p>
    <w:p w14:paraId="38B82386" w14:textId="77777777" w:rsidR="00215266" w:rsidRPr="00A6412F" w:rsidRDefault="00215266" w:rsidP="00215266">
      <w:pPr>
        <w:pStyle w:val="BodyText"/>
        <w:rPr>
          <w:sz w:val="20"/>
          <w:szCs w:val="20"/>
          <w:highlight w:val="yellow"/>
        </w:rPr>
      </w:pPr>
      <w:r w:rsidRPr="00886F89">
        <w:rPr>
          <w:sz w:val="20"/>
          <w:szCs w:val="20"/>
          <w:highlight w:val="yellow"/>
        </w:rPr>
        <w:t>----------------------------------------</w:t>
      </w:r>
      <w:r>
        <w:rPr>
          <w:sz w:val="20"/>
          <w:szCs w:val="20"/>
          <w:highlight w:val="yellow"/>
        </w:rPr>
        <w:t>---</w:t>
      </w:r>
      <w:r w:rsidRPr="00886F89">
        <w:rPr>
          <w:sz w:val="20"/>
          <w:szCs w:val="20"/>
          <w:highlight w:val="yellow"/>
        </w:rPr>
        <w:t>----</w:t>
      </w:r>
      <w:r>
        <w:rPr>
          <w:sz w:val="20"/>
          <w:szCs w:val="20"/>
          <w:highlight w:val="yellow"/>
        </w:rPr>
        <w:t>---</w:t>
      </w:r>
      <w:r w:rsidRPr="00886F89">
        <w:rPr>
          <w:sz w:val="20"/>
          <w:szCs w:val="20"/>
          <w:highlight w:val="yellow"/>
        </w:rPr>
        <w:t>--------- End Text Proposal --------------------------------------------</w:t>
      </w:r>
      <w:r>
        <w:rPr>
          <w:sz w:val="20"/>
          <w:szCs w:val="20"/>
          <w:highlight w:val="yellow"/>
        </w:rPr>
        <w:t>----</w:t>
      </w:r>
      <w:r w:rsidRPr="00886F89">
        <w:rPr>
          <w:sz w:val="20"/>
          <w:szCs w:val="20"/>
          <w:highlight w:val="yellow"/>
        </w:rPr>
        <w:t>-----------</w:t>
      </w:r>
    </w:p>
    <w:p w14:paraId="2402DF41" w14:textId="79C96636" w:rsidR="002D6E72" w:rsidRDefault="002D6E72" w:rsidP="00F33205">
      <w:pPr>
        <w:pStyle w:val="Heading2"/>
        <w:ind w:left="0" w:firstLine="0"/>
      </w:pPr>
      <w:r>
        <w:t>2.</w:t>
      </w:r>
      <w:r w:rsidR="008704D9">
        <w:t>2</w:t>
      </w:r>
      <w:r>
        <w:tab/>
      </w:r>
      <w:r w:rsidR="00F33205">
        <w:tab/>
      </w:r>
      <w:r>
        <w:t>Configuration of UL BWP</w:t>
      </w:r>
    </w:p>
    <w:p w14:paraId="4AC96BE8" w14:textId="0AB10AA2" w:rsidR="008704D9" w:rsidRDefault="00A459B2" w:rsidP="002D6E72">
      <w:pPr>
        <w:rPr>
          <w:rFonts w:ascii="Arial" w:eastAsiaTheme="minorEastAsia" w:hAnsi="Arial"/>
          <w:lang w:val="en-GB" w:eastAsia="zh-CN"/>
        </w:rPr>
      </w:pPr>
      <w:r>
        <w:rPr>
          <w:rFonts w:ascii="Arial" w:eastAsiaTheme="minorEastAsia" w:hAnsi="Arial"/>
          <w:lang w:val="en-GB" w:eastAsia="zh-CN"/>
        </w:rPr>
        <w:t xml:space="preserve">The </w:t>
      </w:r>
      <w:r w:rsidR="008704D9">
        <w:rPr>
          <w:rFonts w:ascii="Arial" w:eastAsiaTheme="minorEastAsia" w:hAnsi="Arial"/>
          <w:lang w:val="en-GB" w:eastAsia="zh-CN"/>
        </w:rPr>
        <w:t>second</w:t>
      </w:r>
      <w:r>
        <w:rPr>
          <w:rFonts w:ascii="Arial" w:eastAsiaTheme="minorEastAsia" w:hAnsi="Arial"/>
          <w:lang w:val="en-GB" w:eastAsia="zh-CN"/>
        </w:rPr>
        <w:t xml:space="preserve"> open issue in the above agreement is whether a BWP can be configured to partially overlap an RB set when the UL carrier is configured with no guard bands and interlacing is configured. In our view, the answer is yes, partial overlap should be supported</w:t>
      </w:r>
      <w:r w:rsidR="008878B1">
        <w:rPr>
          <w:rFonts w:ascii="Arial" w:eastAsiaTheme="minorEastAsia" w:hAnsi="Arial"/>
          <w:lang w:val="en-GB" w:eastAsia="zh-CN"/>
        </w:rPr>
        <w:t xml:space="preserve">; however there needs to be </w:t>
      </w:r>
      <w:r w:rsidR="00B7671D">
        <w:rPr>
          <w:rFonts w:ascii="Arial" w:eastAsiaTheme="minorEastAsia" w:hAnsi="Arial"/>
          <w:lang w:val="en-GB" w:eastAsia="zh-CN"/>
        </w:rPr>
        <w:t xml:space="preserve">a </w:t>
      </w:r>
      <w:r>
        <w:rPr>
          <w:rFonts w:ascii="Arial" w:eastAsiaTheme="minorEastAsia" w:hAnsi="Arial"/>
          <w:lang w:val="en-GB" w:eastAsia="zh-CN"/>
        </w:rPr>
        <w:t>restriction.</w:t>
      </w:r>
      <w:r w:rsidR="00B7671D">
        <w:rPr>
          <w:rFonts w:ascii="Arial" w:eastAsiaTheme="minorEastAsia" w:hAnsi="Arial"/>
          <w:lang w:val="en-GB" w:eastAsia="zh-CN"/>
        </w:rPr>
        <w:t xml:space="preserve"> It cannot be allowed to have an arbitrary partial overlap.</w:t>
      </w:r>
    </w:p>
    <w:p w14:paraId="64B61A19" w14:textId="5C80D78D" w:rsidR="008878B1" w:rsidRDefault="008704D9" w:rsidP="002D6E72">
      <w:pPr>
        <w:rPr>
          <w:rFonts w:ascii="Arial" w:eastAsiaTheme="minorEastAsia" w:hAnsi="Arial"/>
          <w:lang w:val="en-GB" w:eastAsia="zh-CN"/>
        </w:rPr>
      </w:pPr>
      <w:r>
        <w:rPr>
          <w:rFonts w:ascii="Arial" w:eastAsiaTheme="minorEastAsia" w:hAnsi="Arial"/>
          <w:noProof/>
          <w:lang w:val="en-GB" w:eastAsia="zh-CN"/>
        </w:rPr>
        <mc:AlternateContent>
          <mc:Choice Requires="wps">
            <w:drawing>
              <wp:anchor distT="0" distB="0" distL="114300" distR="114300" simplePos="0" relativeHeight="251659264" behindDoc="0" locked="0" layoutInCell="1" allowOverlap="1" wp14:anchorId="2A8B4901" wp14:editId="25A87B86">
                <wp:simplePos x="0" y="0"/>
                <wp:positionH relativeFrom="margin">
                  <wp:align>right</wp:align>
                </wp:positionH>
                <wp:positionV relativeFrom="paragraph">
                  <wp:posOffset>967105</wp:posOffset>
                </wp:positionV>
                <wp:extent cx="6067425" cy="1095375"/>
                <wp:effectExtent l="0" t="0" r="28575" b="28575"/>
                <wp:wrapTopAndBottom/>
                <wp:docPr id="4" name="Text Box 4"/>
                <wp:cNvGraphicFramePr/>
                <a:graphic xmlns:a="http://schemas.openxmlformats.org/drawingml/2006/main">
                  <a:graphicData uri="http://schemas.microsoft.com/office/word/2010/wordprocessingShape">
                    <wps:wsp>
                      <wps:cNvSpPr txBox="1"/>
                      <wps:spPr>
                        <a:xfrm>
                          <a:off x="0" y="0"/>
                          <a:ext cx="6067425" cy="1095375"/>
                        </a:xfrm>
                        <a:prstGeom prst="rect">
                          <a:avLst/>
                        </a:prstGeom>
                        <a:solidFill>
                          <a:schemeClr val="lt1"/>
                        </a:solidFill>
                        <a:ln w="6350">
                          <a:solidFill>
                            <a:prstClr val="black"/>
                          </a:solidFill>
                        </a:ln>
                      </wps:spPr>
                      <wps:txbx>
                        <w:txbxContent>
                          <w:p w14:paraId="47E165D5" w14:textId="77777777" w:rsidR="00DB5C21" w:rsidRPr="008878B1" w:rsidRDefault="00DB5C21" w:rsidP="00320264">
                            <w:pPr>
                              <w:spacing w:after="180" w:line="240" w:lineRule="auto"/>
                              <w:rPr>
                                <w:rFonts w:ascii="Times New Roman" w:eastAsia="SimSun" w:hAnsi="Times New Roman" w:cs="Times New Roman"/>
                                <w:iCs/>
                                <w:sz w:val="20"/>
                                <w:szCs w:val="20"/>
                                <w:lang w:val="en-GB"/>
                              </w:rPr>
                            </w:pPr>
                            <w:r w:rsidRPr="008878B1">
                              <w:rPr>
                                <w:rFonts w:ascii="Times New Roman" w:eastAsia="SimSun" w:hAnsi="Times New Roman" w:cs="Times New Roman"/>
                                <w:sz w:val="20"/>
                                <w:szCs w:val="20"/>
                              </w:rPr>
                              <w:t>I</w:t>
                            </w:r>
                            <w:r w:rsidRPr="008878B1">
                              <w:rPr>
                                <w:rFonts w:ascii="Times New Roman" w:eastAsia="SimSun" w:hAnsi="Times New Roman" w:cs="Times New Roman"/>
                                <w:sz w:val="20"/>
                                <w:szCs w:val="20"/>
                                <w:lang w:val="x-none"/>
                              </w:rPr>
                              <w:t>f</w:t>
                            </w:r>
                            <w:r w:rsidRPr="008878B1">
                              <w:rPr>
                                <w:rFonts w:ascii="Times New Roman" w:eastAsia="SimSun" w:hAnsi="Times New Roman" w:cs="Times New Roman"/>
                                <w:sz w:val="20"/>
                                <w:szCs w:val="20"/>
                              </w:rPr>
                              <w:t xml:space="preserve"> a UE is provided </w:t>
                            </w:r>
                            <w:r w:rsidRPr="008878B1">
                              <w:rPr>
                                <w:rFonts w:ascii="Times New Roman" w:eastAsia="SimSun" w:hAnsi="Times New Roman" w:cs="Times New Roman"/>
                                <w:i/>
                                <w:sz w:val="20"/>
                                <w:szCs w:val="20"/>
                                <w:lang w:val="en-GB"/>
                              </w:rPr>
                              <w:t>useInterlacePUCCH-PUSCH</w:t>
                            </w:r>
                            <w:r w:rsidRPr="008878B1">
                              <w:rPr>
                                <w:rFonts w:ascii="Times New Roman" w:eastAsia="SimSun" w:hAnsi="Times New Roman" w:cs="Times New Roman"/>
                                <w:iCs/>
                                <w:sz w:val="20"/>
                                <w:szCs w:val="20"/>
                                <w:lang w:val="en-GB"/>
                              </w:rPr>
                              <w:t xml:space="preserve"> in </w:t>
                            </w:r>
                            <w:r w:rsidRPr="008878B1">
                              <w:rPr>
                                <w:rFonts w:ascii="Times New Roman" w:eastAsia="SimSun" w:hAnsi="Times New Roman" w:cs="Times New Roman"/>
                                <w:i/>
                                <w:sz w:val="20"/>
                                <w:szCs w:val="20"/>
                                <w:lang w:val="en-GB"/>
                              </w:rPr>
                              <w:t>BWP-UplinkDedicated</w:t>
                            </w:r>
                            <w:r w:rsidRPr="008878B1">
                              <w:rPr>
                                <w:rFonts w:ascii="Times New Roman" w:eastAsia="SimSun" w:hAnsi="Times New Roman" w:cs="Times New Roman"/>
                                <w:sz w:val="20"/>
                                <w:szCs w:val="20"/>
                              </w:rPr>
                              <w:t xml:space="preserve">, the UE determines available RBs for PUCCH transmissions within the active UL BWP as the intersection of RBs </w:t>
                            </w:r>
                            <w:r w:rsidRPr="008878B1">
                              <w:rPr>
                                <w:rFonts w:ascii="Times New Roman" w:eastAsia="SimSun" w:hAnsi="Times New Roman" w:cs="Times New Roman"/>
                                <w:iCs/>
                                <w:sz w:val="20"/>
                                <w:szCs w:val="20"/>
                                <w:lang w:val="en-GB"/>
                              </w:rPr>
                              <w:t xml:space="preserve">corresponding to an interlace index provided by </w:t>
                            </w:r>
                            <w:r w:rsidRPr="008878B1">
                              <w:rPr>
                                <w:rFonts w:ascii="Times New Roman" w:eastAsia="SimSun" w:hAnsi="Times New Roman" w:cs="Times New Roman"/>
                                <w:i/>
                                <w:sz w:val="20"/>
                                <w:szCs w:val="20"/>
                                <w:lang w:val="en-GB"/>
                              </w:rPr>
                              <w:t>interlace0</w:t>
                            </w:r>
                            <w:r w:rsidRPr="008878B1">
                              <w:rPr>
                                <w:rFonts w:ascii="Times New Roman" w:eastAsia="SimSun" w:hAnsi="Times New Roman" w:cs="Times New Roman"/>
                                <w:iCs/>
                                <w:sz w:val="20"/>
                                <w:szCs w:val="20"/>
                                <w:lang w:val="en-GB"/>
                              </w:rPr>
                              <w:t xml:space="preserve"> and, if provided, </w:t>
                            </w:r>
                            <w:r w:rsidRPr="008878B1">
                              <w:rPr>
                                <w:rFonts w:ascii="Times New Roman" w:eastAsia="SimSun" w:hAnsi="Times New Roman" w:cs="Times New Roman"/>
                                <w:i/>
                                <w:sz w:val="20"/>
                                <w:szCs w:val="20"/>
                                <w:lang w:val="en-GB"/>
                              </w:rPr>
                              <w:t>interlace1</w:t>
                            </w:r>
                            <w:r w:rsidRPr="008878B1">
                              <w:rPr>
                                <w:rFonts w:ascii="Times New Roman" w:eastAsia="SimSun" w:hAnsi="Times New Roman" w:cs="Times New Roman"/>
                                <w:iCs/>
                                <w:sz w:val="20"/>
                                <w:szCs w:val="20"/>
                                <w:lang w:val="en-GB"/>
                              </w:rPr>
                              <w:t xml:space="preserve">, and RBs of an RB set provided by </w:t>
                            </w:r>
                            <w:r w:rsidRPr="008878B1">
                              <w:rPr>
                                <w:rFonts w:ascii="Times New Roman" w:eastAsia="SimSun" w:hAnsi="Times New Roman" w:cs="Times New Roman"/>
                                <w:i/>
                                <w:sz w:val="20"/>
                                <w:szCs w:val="20"/>
                                <w:lang w:val="en-GB"/>
                              </w:rPr>
                              <w:t>rb-SetIndex</w:t>
                            </w:r>
                            <w:r w:rsidRPr="008878B1">
                              <w:rPr>
                                <w:rFonts w:ascii="Times New Roman" w:eastAsia="SimSun" w:hAnsi="Times New Roman" w:cs="Times New Roman"/>
                                <w:iCs/>
                                <w:sz w:val="20"/>
                                <w:szCs w:val="20"/>
                                <w:lang w:val="en-GB"/>
                              </w:rPr>
                              <w:t xml:space="preserve">. The intersection results in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interlace,0</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RBs in the first interlace and the UE expects that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interlace,0</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is either 10 or 11. If </w:t>
                            </w:r>
                            <w:r w:rsidRPr="008878B1">
                              <w:rPr>
                                <w:rFonts w:ascii="Times New Roman" w:eastAsia="SimSun" w:hAnsi="Times New Roman" w:cs="Times New Roman"/>
                                <w:i/>
                                <w:sz w:val="20"/>
                                <w:szCs w:val="20"/>
                                <w:lang w:val="en-GB"/>
                              </w:rPr>
                              <w:t>interlace1</w:t>
                            </w:r>
                            <w:r w:rsidRPr="008878B1">
                              <w:rPr>
                                <w:rFonts w:ascii="Times New Roman" w:eastAsia="SimSun" w:hAnsi="Times New Roman" w:cs="Times New Roman"/>
                                <w:iCs/>
                                <w:sz w:val="20"/>
                                <w:szCs w:val="20"/>
                                <w:lang w:val="en-GB"/>
                              </w:rPr>
                              <w:t xml:space="preserve"> is provided, the intersection results in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interlace,1</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RBs in the second interlace and the UE expects that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interlace,1</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is either 10 or 11.</w:t>
                            </w:r>
                          </w:p>
                          <w:p w14:paraId="11640F76" w14:textId="77777777" w:rsidR="00DB5C21" w:rsidRDefault="00DB5C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8B4901" id="_x0000_t202" coordsize="21600,21600" o:spt="202" path="m,l,21600r21600,l21600,xe">
                <v:stroke joinstyle="miter"/>
                <v:path gradientshapeok="t" o:connecttype="rect"/>
              </v:shapetype>
              <v:shape id="Text Box 4" o:spid="_x0000_s1026" type="#_x0000_t202" style="position:absolute;margin-left:426.55pt;margin-top:76.15pt;width:477.75pt;height:86.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" fillcolor="white [3201]" strokeweight=".5pt">
                <v:textbox>
                  <w:txbxContent>
                    <w:p w14:paraId="47E165D5" w14:textId="77777777" w:rsidR="00DB5C21" w:rsidRPr="008878B1" w:rsidRDefault="00DB5C21" w:rsidP="00320264">
                      <w:pPr>
                        <w:spacing w:after="180" w:line="240" w:lineRule="auto"/>
                        <w:rPr>
                          <w:rFonts w:ascii="Times New Roman" w:eastAsia="SimSun" w:hAnsi="Times New Roman" w:cs="Times New Roman"/>
                          <w:iCs/>
                          <w:sz w:val="20"/>
                          <w:szCs w:val="20"/>
                          <w:lang w:val="en-GB"/>
                        </w:rPr>
                      </w:pPr>
                      <w:r w:rsidRPr="008878B1">
                        <w:rPr>
                          <w:rFonts w:ascii="Times New Roman" w:eastAsia="SimSun" w:hAnsi="Times New Roman" w:cs="Times New Roman"/>
                          <w:sz w:val="20"/>
                          <w:szCs w:val="20"/>
                        </w:rPr>
                        <w:t>I</w:t>
                      </w:r>
                      <w:r w:rsidRPr="008878B1">
                        <w:rPr>
                          <w:rFonts w:ascii="Times New Roman" w:eastAsia="SimSun" w:hAnsi="Times New Roman" w:cs="Times New Roman"/>
                          <w:sz w:val="20"/>
                          <w:szCs w:val="20"/>
                          <w:lang w:val="x-none"/>
                        </w:rPr>
                        <w:t>f</w:t>
                      </w:r>
                      <w:r w:rsidRPr="008878B1">
                        <w:rPr>
                          <w:rFonts w:ascii="Times New Roman" w:eastAsia="SimSun" w:hAnsi="Times New Roman" w:cs="Times New Roman"/>
                          <w:sz w:val="20"/>
                          <w:szCs w:val="20"/>
                        </w:rPr>
                        <w:t xml:space="preserve"> a UE is provided </w:t>
                      </w:r>
                      <w:r w:rsidRPr="008878B1">
                        <w:rPr>
                          <w:rFonts w:ascii="Times New Roman" w:eastAsia="SimSun" w:hAnsi="Times New Roman" w:cs="Times New Roman"/>
                          <w:i/>
                          <w:sz w:val="20"/>
                          <w:szCs w:val="20"/>
                          <w:lang w:val="en-GB"/>
                        </w:rPr>
                        <w:t>useInterlacePUCCH-PUSCH</w:t>
                      </w:r>
                      <w:r w:rsidRPr="008878B1">
                        <w:rPr>
                          <w:rFonts w:ascii="Times New Roman" w:eastAsia="SimSun" w:hAnsi="Times New Roman" w:cs="Times New Roman"/>
                          <w:iCs/>
                          <w:sz w:val="20"/>
                          <w:szCs w:val="20"/>
                          <w:lang w:val="en-GB"/>
                        </w:rPr>
                        <w:t xml:space="preserve"> in </w:t>
                      </w:r>
                      <w:r w:rsidRPr="008878B1">
                        <w:rPr>
                          <w:rFonts w:ascii="Times New Roman" w:eastAsia="SimSun" w:hAnsi="Times New Roman" w:cs="Times New Roman"/>
                          <w:i/>
                          <w:sz w:val="20"/>
                          <w:szCs w:val="20"/>
                          <w:lang w:val="en-GB"/>
                        </w:rPr>
                        <w:t>BWP-UplinkDedicated</w:t>
                      </w:r>
                      <w:r w:rsidRPr="008878B1">
                        <w:rPr>
                          <w:rFonts w:ascii="Times New Roman" w:eastAsia="SimSun" w:hAnsi="Times New Roman" w:cs="Times New Roman"/>
                          <w:sz w:val="20"/>
                          <w:szCs w:val="20"/>
                        </w:rPr>
                        <w:t xml:space="preserve">, the UE determines available RBs for PUCCH transmissions within the active UL BWP as the intersection of RBs </w:t>
                      </w:r>
                      <w:r w:rsidRPr="008878B1">
                        <w:rPr>
                          <w:rFonts w:ascii="Times New Roman" w:eastAsia="SimSun" w:hAnsi="Times New Roman" w:cs="Times New Roman"/>
                          <w:iCs/>
                          <w:sz w:val="20"/>
                          <w:szCs w:val="20"/>
                          <w:lang w:val="en-GB"/>
                        </w:rPr>
                        <w:t xml:space="preserve">corresponding to an interlace index provided by </w:t>
                      </w:r>
                      <w:r w:rsidRPr="008878B1">
                        <w:rPr>
                          <w:rFonts w:ascii="Times New Roman" w:eastAsia="SimSun" w:hAnsi="Times New Roman" w:cs="Times New Roman"/>
                          <w:i/>
                          <w:sz w:val="20"/>
                          <w:szCs w:val="20"/>
                          <w:lang w:val="en-GB"/>
                        </w:rPr>
                        <w:t>interlace0</w:t>
                      </w:r>
                      <w:r w:rsidRPr="008878B1">
                        <w:rPr>
                          <w:rFonts w:ascii="Times New Roman" w:eastAsia="SimSun" w:hAnsi="Times New Roman" w:cs="Times New Roman"/>
                          <w:iCs/>
                          <w:sz w:val="20"/>
                          <w:szCs w:val="20"/>
                          <w:lang w:val="en-GB"/>
                        </w:rPr>
                        <w:t xml:space="preserve"> and, if provided, </w:t>
                      </w:r>
                      <w:r w:rsidRPr="008878B1">
                        <w:rPr>
                          <w:rFonts w:ascii="Times New Roman" w:eastAsia="SimSun" w:hAnsi="Times New Roman" w:cs="Times New Roman"/>
                          <w:i/>
                          <w:sz w:val="20"/>
                          <w:szCs w:val="20"/>
                          <w:lang w:val="en-GB"/>
                        </w:rPr>
                        <w:t>interlace1</w:t>
                      </w:r>
                      <w:r w:rsidRPr="008878B1">
                        <w:rPr>
                          <w:rFonts w:ascii="Times New Roman" w:eastAsia="SimSun" w:hAnsi="Times New Roman" w:cs="Times New Roman"/>
                          <w:iCs/>
                          <w:sz w:val="20"/>
                          <w:szCs w:val="20"/>
                          <w:lang w:val="en-GB"/>
                        </w:rPr>
                        <w:t xml:space="preserve">, and RBs of an RB set provided by </w:t>
                      </w:r>
                      <w:r w:rsidRPr="008878B1">
                        <w:rPr>
                          <w:rFonts w:ascii="Times New Roman" w:eastAsia="SimSun" w:hAnsi="Times New Roman" w:cs="Times New Roman"/>
                          <w:i/>
                          <w:sz w:val="20"/>
                          <w:szCs w:val="20"/>
                          <w:lang w:val="en-GB"/>
                        </w:rPr>
                        <w:t>rb-SetIndex</w:t>
                      </w:r>
                      <w:r w:rsidRPr="008878B1">
                        <w:rPr>
                          <w:rFonts w:ascii="Times New Roman" w:eastAsia="SimSun" w:hAnsi="Times New Roman" w:cs="Times New Roman"/>
                          <w:iCs/>
                          <w:sz w:val="20"/>
                          <w:szCs w:val="20"/>
                          <w:lang w:val="en-GB"/>
                        </w:rPr>
                        <w:t xml:space="preserve">. The intersection results in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interlace,0</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RBs in the first interlace and the UE expects that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interlace,0</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is either 10 or 11. If </w:t>
                      </w:r>
                      <w:r w:rsidRPr="008878B1">
                        <w:rPr>
                          <w:rFonts w:ascii="Times New Roman" w:eastAsia="SimSun" w:hAnsi="Times New Roman" w:cs="Times New Roman"/>
                          <w:i/>
                          <w:sz w:val="20"/>
                          <w:szCs w:val="20"/>
                          <w:lang w:val="en-GB"/>
                        </w:rPr>
                        <w:t>interlace1</w:t>
                      </w:r>
                      <w:r w:rsidRPr="008878B1">
                        <w:rPr>
                          <w:rFonts w:ascii="Times New Roman" w:eastAsia="SimSun" w:hAnsi="Times New Roman" w:cs="Times New Roman"/>
                          <w:iCs/>
                          <w:sz w:val="20"/>
                          <w:szCs w:val="20"/>
                          <w:lang w:val="en-GB"/>
                        </w:rPr>
                        <w:t xml:space="preserve"> is provided, the intersection results in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interlace,1</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RBs in the second interlace and the UE expects that </w:t>
                      </w:r>
                      <m:oMath>
                        <m:sSubSup>
                          <m:sSubSupPr>
                            <m:ctrlPr>
                              <w:rPr>
                                <w:rFonts w:ascii="Cambria Math" w:eastAsia="SimSun" w:hAnsi="Cambria Math" w:cs="Times New Roman"/>
                                <w:i/>
                                <w:iCs/>
                                <w:sz w:val="20"/>
                                <w:szCs w:val="20"/>
                                <w:lang w:val="en-GB"/>
                              </w:rPr>
                            </m:ctrlPr>
                          </m:sSubSupPr>
                          <m:e>
                            <m:r>
                              <w:rPr>
                                <w:rFonts w:ascii="Cambria Math" w:eastAsia="SimSun" w:hAnsi="Cambria Math" w:cs="Times New Roman"/>
                                <w:sz w:val="20"/>
                                <w:szCs w:val="20"/>
                                <w:lang w:val="en-GB"/>
                              </w:rPr>
                              <m:t>M</m:t>
                            </m:r>
                          </m:e>
                          <m:sub>
                            <m:r>
                              <m:rPr>
                                <m:nor/>
                              </m:rPr>
                              <w:rPr>
                                <w:rFonts w:ascii="Cambria Math" w:eastAsia="SimSun" w:hAnsi="Cambria Math" w:cs="Times New Roman"/>
                                <w:iCs/>
                                <w:sz w:val="20"/>
                                <w:szCs w:val="20"/>
                                <w:lang w:val="en-GB"/>
                              </w:rPr>
                              <m:t>interlace,1</m:t>
                            </m:r>
                          </m:sub>
                          <m:sup>
                            <m:r>
                              <m:rPr>
                                <m:nor/>
                              </m:rPr>
                              <w:rPr>
                                <w:rFonts w:ascii="Cambria Math" w:eastAsia="SimSun" w:hAnsi="Cambria Math" w:cs="Times New Roman"/>
                                <w:iCs/>
                                <w:sz w:val="20"/>
                                <w:szCs w:val="20"/>
                                <w:lang w:val="en-GB"/>
                              </w:rPr>
                              <m:t>PUCCH</m:t>
                            </m:r>
                          </m:sup>
                        </m:sSubSup>
                      </m:oMath>
                      <w:r w:rsidRPr="008878B1">
                        <w:rPr>
                          <w:rFonts w:ascii="Times New Roman" w:eastAsia="SimSun" w:hAnsi="Times New Roman" w:cs="Times New Roman"/>
                          <w:iCs/>
                          <w:sz w:val="20"/>
                          <w:szCs w:val="20"/>
                          <w:lang w:val="en-GB"/>
                        </w:rPr>
                        <w:t xml:space="preserve"> is either 10 or 11.</w:t>
                      </w:r>
                    </w:p>
                    <w:p w14:paraId="11640F76" w14:textId="77777777" w:rsidR="00DB5C21" w:rsidRDefault="00DB5C21"/>
                  </w:txbxContent>
                </v:textbox>
                <w10:wrap type="topAndBottom" anchorx="margin"/>
              </v:shape>
            </w:pict>
          </mc:Fallback>
        </mc:AlternateContent>
      </w:r>
      <w:r>
        <w:rPr>
          <w:rFonts w:ascii="Arial" w:eastAsiaTheme="minorEastAsia" w:hAnsi="Arial"/>
          <w:lang w:val="en-GB" w:eastAsia="zh-CN"/>
        </w:rPr>
        <w:t xml:space="preserve">As can be seen from the above agreement, the UE expects that within each RB set, the number of RBs on each interlace is either 10 or 11. Furthermore the following text from 38.213 Section 9.2.1, states that </w:t>
      </w:r>
      <w:r w:rsidR="008878B1">
        <w:rPr>
          <w:rFonts w:ascii="Arial" w:eastAsiaTheme="minorEastAsia" w:hAnsi="Arial"/>
          <w:lang w:val="en-GB" w:eastAsia="zh-CN"/>
        </w:rPr>
        <w:t xml:space="preserve">the available RBs for a PUCCH resource are determined by the intersection of the active UL BWP, the indicated one or two interlace(s), and the RBs of the RB set </w:t>
      </w:r>
      <w:r w:rsidR="00320264">
        <w:rPr>
          <w:rFonts w:ascii="Arial" w:eastAsiaTheme="minorEastAsia" w:hAnsi="Arial"/>
          <w:lang w:val="en-GB" w:eastAsia="zh-CN"/>
        </w:rPr>
        <w:t xml:space="preserve">indicated by the parameter </w:t>
      </w:r>
      <w:r w:rsidR="008878B1" w:rsidRPr="008878B1">
        <w:rPr>
          <w:rFonts w:ascii="Arial" w:eastAsiaTheme="minorEastAsia" w:hAnsi="Arial"/>
          <w:i/>
          <w:iCs/>
          <w:lang w:val="en-GB" w:eastAsia="zh-CN"/>
        </w:rPr>
        <w:t>rb-SetIndex</w:t>
      </w:r>
      <w:r w:rsidR="008878B1">
        <w:rPr>
          <w:rFonts w:ascii="Arial" w:eastAsiaTheme="minorEastAsia" w:hAnsi="Arial"/>
          <w:lang w:val="en-GB" w:eastAsia="zh-CN"/>
        </w:rPr>
        <w:t>.</w:t>
      </w:r>
      <w:r w:rsidR="00B7671D">
        <w:rPr>
          <w:rFonts w:ascii="Arial" w:eastAsiaTheme="minorEastAsia" w:hAnsi="Arial"/>
          <w:lang w:val="en-GB" w:eastAsia="zh-CN"/>
        </w:rPr>
        <w:t xml:space="preserve"> The intersection must always result in 10 or 11 PRBs.</w:t>
      </w:r>
    </w:p>
    <w:p w14:paraId="1D35785A" w14:textId="426DA034" w:rsidR="008878B1" w:rsidRDefault="008704D9" w:rsidP="002D6E72">
      <w:pPr>
        <w:rPr>
          <w:rFonts w:ascii="Arial" w:eastAsiaTheme="minorEastAsia" w:hAnsi="Arial"/>
          <w:lang w:val="en-GB" w:eastAsia="zh-CN"/>
        </w:rPr>
      </w:pPr>
      <w:r>
        <w:rPr>
          <w:rFonts w:ascii="Arial" w:eastAsiaTheme="minorEastAsia" w:hAnsi="Arial"/>
          <w:lang w:val="en-GB" w:eastAsia="zh-CN"/>
        </w:rPr>
        <w:t xml:space="preserve">In order, to reuse the current PUCCH allocation mechanism, </w:t>
      </w:r>
      <w:r w:rsidR="00320264">
        <w:rPr>
          <w:rFonts w:ascii="Arial" w:eastAsiaTheme="minorEastAsia" w:hAnsi="Arial"/>
          <w:lang w:val="en-GB" w:eastAsia="zh-CN"/>
        </w:rPr>
        <w:t xml:space="preserve">it makes sense that </w:t>
      </w:r>
      <w:r>
        <w:rPr>
          <w:rFonts w:ascii="Arial" w:eastAsiaTheme="minorEastAsia" w:hAnsi="Arial"/>
          <w:lang w:val="en-GB" w:eastAsia="zh-CN"/>
        </w:rPr>
        <w:t xml:space="preserve">the </w:t>
      </w:r>
      <w:r w:rsidR="00320264">
        <w:rPr>
          <w:rFonts w:ascii="Arial" w:eastAsiaTheme="minorEastAsia" w:hAnsi="Arial"/>
          <w:lang w:val="en-GB" w:eastAsia="zh-CN"/>
        </w:rPr>
        <w:t xml:space="preserve">BWP that overlaps an RB set should always result in at least one interlace with 10 RBs. The other restriction is that the BWP size should be no greater than the maximum allowed by RAN4, e.g., 51/106/162/217 PRBs for 20/40/60/80 MHz BWPs for the case of 30 kHz SCS. </w:t>
      </w:r>
      <w:r w:rsidR="005F2236">
        <w:rPr>
          <w:rFonts w:ascii="Arial" w:eastAsiaTheme="minorEastAsia" w:hAnsi="Arial"/>
          <w:lang w:val="en-GB" w:eastAsia="zh-CN"/>
        </w:rPr>
        <w:fldChar w:fldCharType="begin"/>
      </w:r>
      <w:r w:rsidR="005F2236">
        <w:rPr>
          <w:rFonts w:ascii="Arial" w:eastAsiaTheme="minorEastAsia" w:hAnsi="Arial"/>
          <w:lang w:val="en-GB" w:eastAsia="zh-CN"/>
        </w:rPr>
        <w:instrText xml:space="preserve"> REF _Ref40111913 \h </w:instrText>
      </w:r>
      <w:r w:rsidR="005F2236">
        <w:rPr>
          <w:rFonts w:ascii="Arial" w:eastAsiaTheme="minorEastAsia" w:hAnsi="Arial"/>
          <w:lang w:val="en-GB" w:eastAsia="zh-CN"/>
        </w:rPr>
      </w:r>
      <w:r w:rsidR="005F2236">
        <w:rPr>
          <w:rFonts w:ascii="Arial" w:eastAsiaTheme="minorEastAsia" w:hAnsi="Arial"/>
          <w:lang w:val="en-GB" w:eastAsia="zh-CN"/>
        </w:rPr>
        <w:fldChar w:fldCharType="separate"/>
      </w:r>
      <w:r w:rsidR="005F2236">
        <w:t xml:space="preserve">Figure </w:t>
      </w:r>
      <w:r w:rsidR="005F2236">
        <w:rPr>
          <w:noProof/>
        </w:rPr>
        <w:t>1</w:t>
      </w:r>
      <w:r w:rsidR="005F2236">
        <w:rPr>
          <w:rFonts w:ascii="Arial" w:eastAsiaTheme="minorEastAsia" w:hAnsi="Arial"/>
          <w:lang w:val="en-GB" w:eastAsia="zh-CN"/>
        </w:rPr>
        <w:fldChar w:fldCharType="end"/>
      </w:r>
      <w:r w:rsidR="005F2236">
        <w:rPr>
          <w:rFonts w:ascii="Arial" w:eastAsiaTheme="minorEastAsia" w:hAnsi="Arial"/>
          <w:lang w:val="en-GB" w:eastAsia="zh-CN"/>
        </w:rPr>
        <w:t xml:space="preserve"> shows an example of an 80 MHz carrier configured without intra-cell guard bands in which the RB sets consist of 54, 54, 54, and 55 RBs for a total of 217. A 40 MHz BWP is configure</w:t>
      </w:r>
      <w:r w:rsidR="00D955C4">
        <w:rPr>
          <w:rFonts w:ascii="Arial" w:eastAsiaTheme="minorEastAsia" w:hAnsi="Arial"/>
          <w:lang w:val="en-GB" w:eastAsia="zh-CN"/>
        </w:rPr>
        <w:t>d</w:t>
      </w:r>
      <w:r w:rsidR="005F2236">
        <w:rPr>
          <w:rFonts w:ascii="Arial" w:eastAsiaTheme="minorEastAsia" w:hAnsi="Arial"/>
          <w:lang w:val="en-GB" w:eastAsia="zh-CN"/>
        </w:rPr>
        <w:t xml:space="preserve"> to overlap RB Set 1 and 2. Since the BWP cannot exceed 106 PRBs, there is a small gap (0, 1, or 2 PRBs) at one or both ends of the BWP. Furthermore, the BWP configuration ensures that the BWP includes at least one interlace in each RB set with 10 PRBs.</w:t>
      </w:r>
    </w:p>
    <w:p w14:paraId="0BE44F4A" w14:textId="57ECE490" w:rsidR="005F2236" w:rsidRPr="005F2236" w:rsidRDefault="005F2236" w:rsidP="002D6E72">
      <w:pPr>
        <w:pStyle w:val="Proposal"/>
        <w:rPr>
          <w:rFonts w:eastAsia="Gulim"/>
          <w:lang w:val="en-GB"/>
        </w:rPr>
      </w:pPr>
      <w:bookmarkStart w:id="7" w:name="_Toc40462448"/>
      <w:r w:rsidRPr="007D39EE">
        <w:rPr>
          <w:lang w:val="en-GB"/>
        </w:rPr>
        <w:lastRenderedPageBreak/>
        <w:t xml:space="preserve">For an UL carrier without intra-cell guard bands when the parameter </w:t>
      </w:r>
      <w:r w:rsidRPr="007D39EE">
        <w:rPr>
          <w:i/>
          <w:iCs/>
          <w:lang w:val="en-GB"/>
        </w:rPr>
        <w:t>useInterlacePUCCH-PUCCH</w:t>
      </w:r>
      <w:r w:rsidRPr="007D39EE">
        <w:rPr>
          <w:lang w:val="en-GB"/>
        </w:rPr>
        <w:t xml:space="preserve"> is configured in any of </w:t>
      </w:r>
      <w:r w:rsidRPr="007D39EE">
        <w:rPr>
          <w:i/>
          <w:iCs/>
          <w:lang w:val="en-GB"/>
        </w:rPr>
        <w:t>BWP-UplinkCommon</w:t>
      </w:r>
      <w:r w:rsidRPr="007D39EE">
        <w:rPr>
          <w:lang w:val="en-GB"/>
        </w:rPr>
        <w:t xml:space="preserve"> and </w:t>
      </w:r>
      <w:r w:rsidRPr="007D39EE">
        <w:rPr>
          <w:i/>
          <w:iCs/>
          <w:lang w:val="en-GB"/>
        </w:rPr>
        <w:t>BWP-UplinkDedicated</w:t>
      </w:r>
      <w:r>
        <w:rPr>
          <w:lang w:val="en-GB"/>
        </w:rPr>
        <w:t>, a BWP that overlaps one or more RB sets shall be configured such that it contains at least 10 RBs in at least one interlace in each overlapped RB set.</w:t>
      </w:r>
      <w:bookmarkEnd w:id="7"/>
    </w:p>
    <w:p w14:paraId="46F13923" w14:textId="63EDDDA7" w:rsidR="00320264" w:rsidRDefault="00EC330C" w:rsidP="00EC330C">
      <w:pPr>
        <w:keepNext/>
        <w:jc w:val="right"/>
      </w:pPr>
      <w:r>
        <w:rPr>
          <w:noProof/>
        </w:rPr>
        <w:drawing>
          <wp:inline distT="0" distB="0" distL="0" distR="0" wp14:anchorId="02873F44" wp14:editId="375D3DE3">
            <wp:extent cx="5486400" cy="33192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3319272"/>
                    </a:xfrm>
                    <a:prstGeom prst="rect">
                      <a:avLst/>
                    </a:prstGeom>
                    <a:noFill/>
                  </pic:spPr>
                </pic:pic>
              </a:graphicData>
            </a:graphic>
          </wp:inline>
        </w:drawing>
      </w:r>
    </w:p>
    <w:p w14:paraId="56982393" w14:textId="3BE5F444" w:rsidR="00320264" w:rsidRPr="00A459B2" w:rsidRDefault="00320264" w:rsidP="00320264">
      <w:pPr>
        <w:pStyle w:val="Caption"/>
        <w:rPr>
          <w:rFonts w:ascii="Arial" w:eastAsiaTheme="minorEastAsia" w:hAnsi="Arial"/>
          <w:lang w:val="en-GB" w:eastAsia="zh-CN"/>
        </w:rPr>
      </w:pPr>
      <w:bookmarkStart w:id="8" w:name="_Ref40111913"/>
      <w:r>
        <w:t xml:space="preserve">Figure </w:t>
      </w:r>
      <w:r w:rsidR="00B710FA">
        <w:fldChar w:fldCharType="begin"/>
      </w:r>
      <w:r w:rsidR="00B710FA">
        <w:instrText xml:space="preserve"> SEQ Figure \* ARABIC </w:instrText>
      </w:r>
      <w:r w:rsidR="00B710FA">
        <w:fldChar w:fldCharType="separate"/>
      </w:r>
      <w:r>
        <w:rPr>
          <w:noProof/>
        </w:rPr>
        <w:t>1</w:t>
      </w:r>
      <w:r w:rsidR="00B710FA">
        <w:rPr>
          <w:noProof/>
        </w:rPr>
        <w:fldChar w:fldCharType="end"/>
      </w:r>
      <w:bookmarkEnd w:id="8"/>
      <w:r>
        <w:t xml:space="preserve">: Examplary configuration of a 40 MHz BWP in 80 MHz carrier configured without intra-cell guard bands. The BWP is configured to partially overlap 2 RB sets without exceeding the maximum allowed 106 PRBs. The partial overlap is constrained such that </w:t>
      </w:r>
      <w:r w:rsidR="005F2236">
        <w:t xml:space="preserve">the BWP contains </w:t>
      </w:r>
      <w:r>
        <w:t>at least one interace</w:t>
      </w:r>
      <w:r w:rsidR="005F2236">
        <w:t xml:space="preserve"> in each RB set with 10 RBs. </w:t>
      </w:r>
    </w:p>
    <w:p w14:paraId="2DC878CF" w14:textId="67F6D096" w:rsidR="007D39EE" w:rsidRDefault="007D39EE">
      <w:pPr>
        <w:pStyle w:val="Heading1"/>
      </w:pPr>
      <w:r>
        <w:t>3</w:t>
      </w:r>
      <w:r>
        <w:tab/>
        <w:t>DL Carrier Without Intra</w:t>
      </w:r>
      <w:r w:rsidR="00F33205">
        <w:t>-C</w:t>
      </w:r>
      <w:r>
        <w:t>ell Guard Bands</w:t>
      </w:r>
    </w:p>
    <w:p w14:paraId="03610FA0" w14:textId="3E08F884" w:rsidR="0052729D" w:rsidRDefault="0052729D" w:rsidP="0052729D">
      <w:pPr>
        <w:rPr>
          <w:rFonts w:ascii="Arial" w:eastAsiaTheme="minorEastAsia" w:hAnsi="Arial"/>
          <w:lang w:val="en-GB" w:eastAsia="zh-CN"/>
        </w:rPr>
      </w:pPr>
      <w:r>
        <w:rPr>
          <w:rFonts w:ascii="Arial" w:eastAsiaTheme="minorEastAsia" w:hAnsi="Arial"/>
          <w:lang w:val="en-GB" w:eastAsia="zh-CN"/>
        </w:rPr>
        <w:t>The discussion in the previous section focused on RB set configuration for an UL carrier without intra-cell guard bands</w:t>
      </w:r>
      <w:r w:rsidR="00012A2A">
        <w:rPr>
          <w:rFonts w:ascii="Arial" w:eastAsiaTheme="minorEastAsia" w:hAnsi="Arial"/>
          <w:lang w:val="en-GB" w:eastAsia="zh-CN"/>
        </w:rPr>
        <w:t xml:space="preserve"> when interlacing is configured. Dividing such a carrier into RB sets is beneficial in order to reuse existing PUCCH and PUSCH frequency domain resource allocation mechanisms.</w:t>
      </w:r>
      <w:r w:rsidR="000B67FB">
        <w:rPr>
          <w:rFonts w:ascii="Arial" w:eastAsiaTheme="minorEastAsia" w:hAnsi="Arial"/>
          <w:lang w:val="en-GB" w:eastAsia="zh-CN"/>
        </w:rPr>
        <w:t xml:space="preserve"> </w:t>
      </w:r>
      <w:r w:rsidR="00012A2A">
        <w:rPr>
          <w:rFonts w:ascii="Arial" w:eastAsiaTheme="minorEastAsia" w:hAnsi="Arial"/>
          <w:lang w:val="en-GB" w:eastAsia="zh-CN"/>
        </w:rPr>
        <w:t xml:space="preserve">However, for the case of the DL where interlaced transmission is not used, it is not clear that </w:t>
      </w:r>
      <w:r w:rsidR="000B67FB">
        <w:rPr>
          <w:rFonts w:ascii="Arial" w:eastAsiaTheme="minorEastAsia" w:hAnsi="Arial"/>
          <w:lang w:val="en-GB" w:eastAsia="zh-CN"/>
        </w:rPr>
        <w:t xml:space="preserve">more than a </w:t>
      </w:r>
      <w:r w:rsidR="00012A2A">
        <w:rPr>
          <w:rFonts w:ascii="Arial" w:eastAsiaTheme="minorEastAsia" w:hAnsi="Arial"/>
          <w:lang w:val="en-GB" w:eastAsia="zh-CN"/>
        </w:rPr>
        <w:t>single RB set spanning the whole carrier is needed. This is because existing Rel-15 mechanisms for frequency domain resource allocation (Type 0/Type 1) don’t rely at all on RB sets.</w:t>
      </w:r>
    </w:p>
    <w:p w14:paraId="4AC036C6" w14:textId="3E755E89" w:rsidR="00A35BFB" w:rsidRDefault="000B67FB" w:rsidP="0052729D">
      <w:pPr>
        <w:rPr>
          <w:rFonts w:ascii="Arial" w:eastAsiaTheme="minorEastAsia" w:hAnsi="Arial"/>
          <w:lang w:val="en-GB" w:eastAsia="zh-CN"/>
        </w:rPr>
      </w:pPr>
      <w:r>
        <w:rPr>
          <w:rFonts w:ascii="Arial" w:eastAsiaTheme="minorEastAsia" w:hAnsi="Arial"/>
          <w:lang w:val="en-GB" w:eastAsia="zh-CN"/>
        </w:rPr>
        <w:t xml:space="preserve">Definition of only a single RB set </w:t>
      </w:r>
      <w:r w:rsidR="00A35BFB">
        <w:rPr>
          <w:rFonts w:ascii="Arial" w:eastAsiaTheme="minorEastAsia" w:hAnsi="Arial"/>
          <w:lang w:val="en-GB" w:eastAsia="zh-CN"/>
        </w:rPr>
        <w:t>seems to consistent with the following agreement from the last meeting:</w:t>
      </w:r>
    </w:p>
    <w:p w14:paraId="6883FF2E" w14:textId="77777777" w:rsidR="00A35BFB" w:rsidRPr="00A35BFB" w:rsidRDefault="00A35BFB" w:rsidP="00A35BFB">
      <w:pPr>
        <w:spacing w:after="0" w:line="240" w:lineRule="auto"/>
        <w:ind w:left="567"/>
        <w:rPr>
          <w:rFonts w:ascii="Times" w:eastAsia="Batang" w:hAnsi="Times" w:cs="Times New Roman"/>
          <w:sz w:val="20"/>
          <w:szCs w:val="24"/>
          <w:lang w:val="en-GB"/>
        </w:rPr>
      </w:pPr>
      <w:r w:rsidRPr="00A35BFB">
        <w:rPr>
          <w:rFonts w:ascii="Times" w:eastAsia="Batang" w:hAnsi="Times" w:cs="Times New Roman"/>
          <w:sz w:val="20"/>
          <w:szCs w:val="24"/>
          <w:highlight w:val="green"/>
          <w:lang w:val="en-GB"/>
        </w:rPr>
        <w:t>Agreement:</w:t>
      </w:r>
    </w:p>
    <w:p w14:paraId="2AE168AB" w14:textId="77777777" w:rsidR="00A35BFB" w:rsidRPr="00A35BFB" w:rsidRDefault="00A35BFB" w:rsidP="00A35BFB">
      <w:pPr>
        <w:spacing w:after="0" w:line="240" w:lineRule="auto"/>
        <w:ind w:left="567"/>
        <w:rPr>
          <w:rFonts w:ascii="Times" w:eastAsia="Batang" w:hAnsi="Times" w:cs="Times New Roman"/>
          <w:sz w:val="20"/>
          <w:szCs w:val="20"/>
          <w:lang w:val="en-GB"/>
        </w:rPr>
      </w:pPr>
      <w:r w:rsidRPr="00A35BFB">
        <w:rPr>
          <w:rFonts w:ascii="Times" w:eastAsia="Batang" w:hAnsi="Times" w:cs="Times New Roman"/>
          <w:sz w:val="20"/>
          <w:szCs w:val="20"/>
          <w:lang w:val="en-GB"/>
        </w:rPr>
        <w:t>For a DL cell without intra-cell guard bands</w:t>
      </w:r>
    </w:p>
    <w:p w14:paraId="2479439C" w14:textId="77777777" w:rsidR="00A35BFB" w:rsidRPr="00A35BFB" w:rsidRDefault="00A35BFB" w:rsidP="00A35BFB">
      <w:pPr>
        <w:numPr>
          <w:ilvl w:val="0"/>
          <w:numId w:val="40"/>
        </w:numPr>
        <w:spacing w:after="0" w:line="240" w:lineRule="auto"/>
        <w:ind w:left="1287"/>
        <w:rPr>
          <w:rFonts w:ascii="Times" w:eastAsia="Batang" w:hAnsi="Times" w:cs="Times"/>
          <w:sz w:val="20"/>
          <w:szCs w:val="20"/>
          <w:lang w:val="en-GB" w:eastAsia="x-none"/>
        </w:rPr>
      </w:pPr>
      <w:r w:rsidRPr="00A35BFB">
        <w:rPr>
          <w:rFonts w:ascii="Times" w:eastAsia="Batang" w:hAnsi="Times" w:cs="Times"/>
          <w:sz w:val="20"/>
          <w:szCs w:val="20"/>
          <w:lang w:val="en-GB" w:eastAsia="x-none"/>
        </w:rPr>
        <w:t>The bit-width of available RB-set indicator (if configured) in DCI format 2_0 is equal to 1</w:t>
      </w:r>
    </w:p>
    <w:p w14:paraId="5B238931" w14:textId="77777777" w:rsidR="00A35BFB" w:rsidRPr="00A35BFB" w:rsidRDefault="00A35BFB" w:rsidP="00A35BFB">
      <w:pPr>
        <w:numPr>
          <w:ilvl w:val="0"/>
          <w:numId w:val="40"/>
        </w:numPr>
        <w:spacing w:after="0" w:line="240" w:lineRule="auto"/>
        <w:ind w:left="1287"/>
        <w:rPr>
          <w:rFonts w:ascii="Times" w:eastAsia="Batang" w:hAnsi="Times" w:cs="Times"/>
          <w:sz w:val="20"/>
          <w:szCs w:val="20"/>
          <w:lang w:val="en-GB" w:eastAsia="x-none"/>
        </w:rPr>
      </w:pPr>
      <w:r w:rsidRPr="00A35BFB">
        <w:rPr>
          <w:rFonts w:ascii="Times" w:eastAsia="Batang" w:hAnsi="Times" w:cs="Times"/>
          <w:sz w:val="20"/>
          <w:szCs w:val="20"/>
          <w:lang w:val="en-GB" w:eastAsia="x-none"/>
        </w:rPr>
        <w:t xml:space="preserve">UE does not expect to be configured with search space with </w:t>
      </w:r>
      <w:r w:rsidRPr="00A35BFB">
        <w:rPr>
          <w:rFonts w:ascii="Times" w:eastAsia="Batang" w:hAnsi="Times" w:cs="Times"/>
          <w:i/>
          <w:iCs/>
          <w:sz w:val="20"/>
          <w:szCs w:val="20"/>
          <w:lang w:val="en-GB" w:eastAsia="x-none"/>
        </w:rPr>
        <w:t>freqMonitorLocations-r16</w:t>
      </w:r>
    </w:p>
    <w:p w14:paraId="0C10AEEB" w14:textId="670FF9C5" w:rsidR="00F33205" w:rsidRDefault="00F33205" w:rsidP="0052729D">
      <w:pPr>
        <w:rPr>
          <w:rFonts w:ascii="Arial" w:eastAsiaTheme="minorEastAsia" w:hAnsi="Arial"/>
          <w:lang w:val="en-GB" w:eastAsia="zh-CN"/>
        </w:rPr>
      </w:pPr>
      <w:r>
        <w:rPr>
          <w:rFonts w:ascii="Arial" w:eastAsiaTheme="minorEastAsia" w:hAnsi="Arial"/>
          <w:noProof/>
          <w:lang w:val="en-GB" w:eastAsia="zh-CN"/>
        </w:rPr>
        <w:lastRenderedPageBreak/>
        <mc:AlternateContent>
          <mc:Choice Requires="wps">
            <w:drawing>
              <wp:anchor distT="0" distB="0" distL="114300" distR="114300" simplePos="0" relativeHeight="251660288" behindDoc="0" locked="0" layoutInCell="1" allowOverlap="1" wp14:anchorId="6AEDFB5E" wp14:editId="75DF5595">
                <wp:simplePos x="0" y="0"/>
                <wp:positionH relativeFrom="margin">
                  <wp:align>right</wp:align>
                </wp:positionH>
                <wp:positionV relativeFrom="paragraph">
                  <wp:posOffset>579755</wp:posOffset>
                </wp:positionV>
                <wp:extent cx="6076950" cy="762000"/>
                <wp:effectExtent l="0" t="0" r="19050" b="19050"/>
                <wp:wrapTopAndBottom/>
                <wp:docPr id="6" name="Text Box 6"/>
                <wp:cNvGraphicFramePr/>
                <a:graphic xmlns:a="http://schemas.openxmlformats.org/drawingml/2006/main">
                  <a:graphicData uri="http://schemas.microsoft.com/office/word/2010/wordprocessingShape">
                    <wps:wsp>
                      <wps:cNvSpPr txBox="1"/>
                      <wps:spPr>
                        <a:xfrm>
                          <a:off x="0" y="0"/>
                          <a:ext cx="6076950" cy="762000"/>
                        </a:xfrm>
                        <a:prstGeom prst="rect">
                          <a:avLst/>
                        </a:prstGeom>
                        <a:solidFill>
                          <a:schemeClr val="lt1"/>
                        </a:solidFill>
                        <a:ln w="6350">
                          <a:solidFill>
                            <a:prstClr val="black"/>
                          </a:solidFill>
                        </a:ln>
                      </wps:spPr>
                      <wps:txbx>
                        <w:txbxContent>
                          <w:p w14:paraId="2178A617" w14:textId="77777777" w:rsidR="00DB5C21" w:rsidRPr="00F33205" w:rsidRDefault="00DB5C21" w:rsidP="00F33205">
                            <w:pPr>
                              <w:spacing w:after="180" w:line="240" w:lineRule="auto"/>
                              <w:rPr>
                                <w:rFonts w:ascii="Times New Roman" w:eastAsia="Times New Roman" w:hAnsi="Times New Roman" w:cs="Times New Roman"/>
                                <w:sz w:val="20"/>
                                <w:szCs w:val="20"/>
                                <w:lang w:val="en-GB"/>
                              </w:rPr>
                            </w:pPr>
                            <w:r w:rsidRPr="00F33205">
                              <w:rPr>
                                <w:rFonts w:ascii="Times New Roman" w:eastAsia="Times New Roman" w:hAnsi="Times New Roman" w:cs="Times New Roman"/>
                                <w:sz w:val="20"/>
                                <w:szCs w:val="20"/>
                                <w:lang w:val="en-GB"/>
                              </w:rPr>
                              <w:t xml:space="preserve">If a UE is configured by higher layers to receive a CSI-RS or </w:t>
                            </w:r>
                            <w:r w:rsidRPr="00F33205">
                              <w:rPr>
                                <w:rFonts w:ascii="Times New Roman" w:eastAsia="Times New Roman" w:hAnsi="Times New Roman" w:cs="Times New Roman"/>
                                <w:sz w:val="20"/>
                                <w:szCs w:val="20"/>
                              </w:rPr>
                              <w:t>detects a DCI format 0_1 indicating to the UE to receive</w:t>
                            </w:r>
                            <w:r w:rsidRPr="00F33205">
                              <w:rPr>
                                <w:rFonts w:ascii="Times New Roman" w:eastAsia="Times New Roman" w:hAnsi="Times New Roman" w:cs="Times New Roman"/>
                                <w:sz w:val="20"/>
                                <w:szCs w:val="20"/>
                                <w:lang w:val="en-GB"/>
                              </w:rPr>
                              <w:t xml:space="preserve"> a CSI-RS in one or more RB sets and a set of symbols of a slot</w:t>
                            </w:r>
                            <w:r w:rsidRPr="00F33205">
                              <w:rPr>
                                <w:rFonts w:ascii="Times New Roman" w:eastAsia="Times New Roman" w:hAnsi="Times New Roman" w:cs="Times New Roman"/>
                                <w:sz w:val="20"/>
                                <w:szCs w:val="20"/>
                              </w:rPr>
                              <w:t>, and the UE detects a DCI format 2_0 with bitmap indicating that any RB set from the one or more RB sets is not available for reception, the UE cancels the CSI-RS reception in the set of symbols of the slot.</w:t>
                            </w:r>
                          </w:p>
                          <w:p w14:paraId="5F844ACF" w14:textId="77777777" w:rsidR="00DB5C21" w:rsidRDefault="00DB5C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EDFB5E" id="Text Box 6" o:spid="_x0000_s1027" type="#_x0000_t202" style="position:absolute;margin-left:427.3pt;margin-top:45.65pt;width:478.5pt;height:60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" fillcolor="white [3201]" strokeweight=".5pt">
                <v:textbox>
                  <w:txbxContent>
                    <w:p w14:paraId="2178A617" w14:textId="77777777" w:rsidR="00DB5C21" w:rsidRPr="00F33205" w:rsidRDefault="00DB5C21" w:rsidP="00F33205">
                      <w:pPr>
                        <w:spacing w:after="180" w:line="240" w:lineRule="auto"/>
                        <w:rPr>
                          <w:rFonts w:ascii="Times New Roman" w:eastAsia="Times New Roman" w:hAnsi="Times New Roman" w:cs="Times New Roman"/>
                          <w:sz w:val="20"/>
                          <w:szCs w:val="20"/>
                          <w:lang w:val="en-GB"/>
                        </w:rPr>
                      </w:pPr>
                      <w:r w:rsidRPr="00F33205">
                        <w:rPr>
                          <w:rFonts w:ascii="Times New Roman" w:eastAsia="Times New Roman" w:hAnsi="Times New Roman" w:cs="Times New Roman"/>
                          <w:sz w:val="20"/>
                          <w:szCs w:val="20"/>
                          <w:lang w:val="en-GB"/>
                        </w:rPr>
                        <w:t xml:space="preserve">If a UE is configured by higher layers to receive a CSI-RS or </w:t>
                      </w:r>
                      <w:r w:rsidRPr="00F33205">
                        <w:rPr>
                          <w:rFonts w:ascii="Times New Roman" w:eastAsia="Times New Roman" w:hAnsi="Times New Roman" w:cs="Times New Roman"/>
                          <w:sz w:val="20"/>
                          <w:szCs w:val="20"/>
                        </w:rPr>
                        <w:t>detects a DCI format 0_1 indicating to the UE to receive</w:t>
                      </w:r>
                      <w:r w:rsidRPr="00F33205">
                        <w:rPr>
                          <w:rFonts w:ascii="Times New Roman" w:eastAsia="Times New Roman" w:hAnsi="Times New Roman" w:cs="Times New Roman"/>
                          <w:sz w:val="20"/>
                          <w:szCs w:val="20"/>
                          <w:lang w:val="en-GB"/>
                        </w:rPr>
                        <w:t xml:space="preserve"> a CSI-RS in one or more RB sets and a set of symbols of a slot</w:t>
                      </w:r>
                      <w:r w:rsidRPr="00F33205">
                        <w:rPr>
                          <w:rFonts w:ascii="Times New Roman" w:eastAsia="Times New Roman" w:hAnsi="Times New Roman" w:cs="Times New Roman"/>
                          <w:sz w:val="20"/>
                          <w:szCs w:val="20"/>
                        </w:rPr>
                        <w:t>, and the UE detects a DCI format 2_0 with bitmap indicating that any RB set from the one or more RB sets is not available for reception, the UE cancels the CSI-RS reception in the set of symbols of the slot.</w:t>
                      </w:r>
                    </w:p>
                    <w:p w14:paraId="5F844ACF" w14:textId="77777777" w:rsidR="00DB5C21" w:rsidRDefault="00DB5C21"/>
                  </w:txbxContent>
                </v:textbox>
                <w10:wrap type="topAndBottom" anchorx="margin"/>
              </v:shape>
            </w:pict>
          </mc:Fallback>
        </mc:AlternateContent>
      </w:r>
      <w:r w:rsidR="00A35BFB">
        <w:rPr>
          <w:rFonts w:ascii="Arial" w:eastAsiaTheme="minorEastAsia" w:hAnsi="Arial"/>
          <w:lang w:val="en-GB" w:eastAsia="zh-CN"/>
        </w:rPr>
        <w:t xml:space="preserve"> </w:t>
      </w:r>
      <w:r>
        <w:rPr>
          <w:rFonts w:ascii="Arial" w:eastAsiaTheme="minorEastAsia" w:hAnsi="Arial"/>
          <w:lang w:val="en-GB" w:eastAsia="zh-CN"/>
        </w:rPr>
        <w:br/>
        <w:t>Furthermore, this is also consistent with the following text in 38.213 Section 11.1.1 on CSI-RS reception:</w:t>
      </w:r>
    </w:p>
    <w:p w14:paraId="33BF29F5" w14:textId="77777777" w:rsidR="00F33205" w:rsidRDefault="00F33205" w:rsidP="0052729D">
      <w:pPr>
        <w:rPr>
          <w:rFonts w:ascii="Arial" w:eastAsiaTheme="minorEastAsia" w:hAnsi="Arial"/>
          <w:lang w:val="en-GB" w:eastAsia="zh-CN"/>
        </w:rPr>
      </w:pPr>
    </w:p>
    <w:p w14:paraId="47A4A8F8" w14:textId="055A0C2B" w:rsidR="00236220" w:rsidRDefault="00A35BFB" w:rsidP="0052729D">
      <w:pPr>
        <w:rPr>
          <w:rFonts w:ascii="Arial" w:eastAsiaTheme="minorEastAsia" w:hAnsi="Arial"/>
          <w:lang w:val="en-GB" w:eastAsia="zh-CN"/>
        </w:rPr>
      </w:pPr>
      <w:r>
        <w:rPr>
          <w:rFonts w:ascii="Arial" w:eastAsiaTheme="minorEastAsia" w:hAnsi="Arial"/>
          <w:lang w:val="en-GB" w:eastAsia="zh-CN"/>
        </w:rPr>
        <w:t>With only a single RB set in the DL</w:t>
      </w:r>
      <w:r w:rsidR="000B67FB">
        <w:rPr>
          <w:rFonts w:ascii="Arial" w:eastAsiaTheme="minorEastAsia" w:hAnsi="Arial"/>
          <w:lang w:val="en-GB" w:eastAsia="zh-CN"/>
        </w:rPr>
        <w:t xml:space="preserve"> for carriers &gt; 20 MHz, it is not clear how the indication of “no guard bands” should work. </w:t>
      </w:r>
      <w:r w:rsidR="00236220">
        <w:rPr>
          <w:rFonts w:ascii="Arial" w:eastAsiaTheme="minorEastAsia" w:hAnsi="Arial"/>
          <w:lang w:val="en-GB" w:eastAsia="zh-CN"/>
        </w:rPr>
        <w:t>The obvious approach is to configure one or more zero-width guard bands (</w:t>
      </w:r>
      <w:r w:rsidR="00236220" w:rsidRPr="00236220">
        <w:rPr>
          <w:rFonts w:ascii="Arial" w:eastAsiaTheme="minorEastAsia" w:hAnsi="Arial"/>
          <w:i/>
          <w:iCs/>
          <w:lang w:val="en-GB" w:eastAsia="zh-CN"/>
        </w:rPr>
        <w:t>nrofCRBs-r16</w:t>
      </w:r>
      <w:r w:rsidR="00236220">
        <w:rPr>
          <w:rFonts w:ascii="Arial" w:eastAsiaTheme="minorEastAsia" w:hAnsi="Arial"/>
          <w:lang w:val="en-GB" w:eastAsia="zh-CN"/>
        </w:rPr>
        <w:t xml:space="preserve"> = 0) which would define multiple RB sets. However, if only a single RB set is needed in the DL, then this incurs unnecessary overhead. One solution could be to signal only a single zero-width guard band, and then in RAN1 specs specify that when such a configuration is received, the UE assumes only single RB set and no guard bands. This should be further discussed.</w:t>
      </w:r>
    </w:p>
    <w:p w14:paraId="6FC69C38" w14:textId="22D3FE8F" w:rsidR="00A35BFB" w:rsidRPr="00236220" w:rsidRDefault="00236220" w:rsidP="00236220">
      <w:pPr>
        <w:pStyle w:val="Proposal"/>
        <w:rPr>
          <w:lang w:val="en-GB"/>
        </w:rPr>
      </w:pPr>
      <w:bookmarkStart w:id="9" w:name="_Toc40118017"/>
      <w:bookmarkStart w:id="10" w:name="_Toc40462449"/>
      <w:r>
        <w:rPr>
          <w:lang w:val="en-GB"/>
        </w:rPr>
        <w:t>RAN1 should further discuss whether or not more than one RB set spanning the whole carrier is needed for a DL carrier configured without intra-cell guard bands</w:t>
      </w:r>
      <w:bookmarkEnd w:id="9"/>
      <w:r>
        <w:rPr>
          <w:lang w:val="en-GB"/>
        </w:rPr>
        <w:t xml:space="preserve">. If only single RB set is needed, RAN1 to decide what the UE should expect from configuration of </w:t>
      </w:r>
      <w:r w:rsidRPr="00236220">
        <w:rPr>
          <w:i/>
          <w:iCs/>
          <w:lang w:val="en-GB"/>
        </w:rPr>
        <w:t>intraCellGuardBandDL-r16</w:t>
      </w:r>
      <w:r>
        <w:rPr>
          <w:lang w:val="en-GB"/>
        </w:rPr>
        <w:t xml:space="preserve"> with nrofCRBs-r16 = 0. Inform RAN2 of the RAN1 decision.</w:t>
      </w:r>
      <w:bookmarkEnd w:id="10"/>
    </w:p>
    <w:p w14:paraId="0A01C6E6" w14:textId="0CA8B86C" w:rsidR="007B7CEE" w:rsidRDefault="00181686">
      <w:pPr>
        <w:pStyle w:val="Heading1"/>
      </w:pPr>
      <w:r>
        <w:t>4</w:t>
      </w:r>
      <w:r w:rsidR="007B7CEE">
        <w:tab/>
        <w:t>Implementation of Agreements in RAN1 Specifications</w:t>
      </w:r>
    </w:p>
    <w:p w14:paraId="5C76FD1F" w14:textId="64986F4E" w:rsidR="00181686" w:rsidRDefault="007B7CEE" w:rsidP="007B7CEE">
      <w:pPr>
        <w:rPr>
          <w:rFonts w:ascii="Arial" w:eastAsiaTheme="minorEastAsia" w:hAnsi="Arial"/>
          <w:lang w:val="en-GB" w:eastAsia="zh-CN"/>
        </w:rPr>
      </w:pPr>
      <w:r>
        <w:rPr>
          <w:rFonts w:ascii="Arial" w:eastAsiaTheme="minorEastAsia" w:hAnsi="Arial"/>
          <w:lang w:val="en-GB" w:eastAsia="zh-CN"/>
        </w:rPr>
        <w:t xml:space="preserve">After the issues </w:t>
      </w:r>
      <w:r w:rsidR="00181686">
        <w:rPr>
          <w:rFonts w:ascii="Arial" w:eastAsiaTheme="minorEastAsia" w:hAnsi="Arial"/>
          <w:lang w:val="en-GB" w:eastAsia="zh-CN"/>
        </w:rPr>
        <w:t xml:space="preserve">in Sections 2 and 3 are resolved, a text proposal is needed for 38.214 Section 7 to </w:t>
      </w:r>
      <w:r w:rsidR="0001647E">
        <w:rPr>
          <w:rFonts w:ascii="Arial" w:eastAsiaTheme="minorEastAsia" w:hAnsi="Arial"/>
          <w:lang w:val="en-GB" w:eastAsia="zh-CN"/>
        </w:rPr>
        <w:t xml:space="preserve">capture the agreement from RAN1#100b-e as well as the resolution of the FFS items. </w:t>
      </w:r>
      <w:r w:rsidR="00181686">
        <w:rPr>
          <w:rFonts w:ascii="Arial" w:eastAsiaTheme="minorEastAsia" w:hAnsi="Arial"/>
          <w:lang w:val="en-GB" w:eastAsia="zh-CN"/>
        </w:rPr>
        <w:t xml:space="preserve">The text proposal </w:t>
      </w:r>
      <w:r w:rsidR="0001647E">
        <w:rPr>
          <w:rFonts w:ascii="Arial" w:eastAsiaTheme="minorEastAsia" w:hAnsi="Arial"/>
          <w:lang w:val="en-GB" w:eastAsia="zh-CN"/>
        </w:rPr>
        <w:t>should replace</w:t>
      </w:r>
      <w:r w:rsidR="00181686">
        <w:rPr>
          <w:rFonts w:ascii="Arial" w:eastAsiaTheme="minorEastAsia" w:hAnsi="Arial"/>
          <w:lang w:val="en-GB" w:eastAsia="zh-CN"/>
        </w:rPr>
        <w:t xml:space="preserve"> the following text which is currently in square brackets.</w:t>
      </w:r>
    </w:p>
    <w:p w14:paraId="2646A3CC" w14:textId="702CDD9A" w:rsidR="007B7CEE" w:rsidRDefault="007B7CEE" w:rsidP="007B7CEE">
      <w:pPr>
        <w:rPr>
          <w:lang w:val="en-GB" w:eastAsia="ja-JP"/>
        </w:rPr>
      </w:pPr>
      <w:r>
        <w:rPr>
          <w:noProof/>
          <w:lang w:val="en-GB" w:eastAsia="ja-JP"/>
        </w:rPr>
        <mc:AlternateContent>
          <mc:Choice Requires="wps">
            <w:drawing>
              <wp:anchor distT="0" distB="0" distL="114300" distR="114300" simplePos="0" relativeHeight="251661312" behindDoc="0" locked="0" layoutInCell="1" allowOverlap="1" wp14:anchorId="043E4D1E" wp14:editId="48397941">
                <wp:simplePos x="0" y="0"/>
                <wp:positionH relativeFrom="margin">
                  <wp:align>right</wp:align>
                </wp:positionH>
                <wp:positionV relativeFrom="paragraph">
                  <wp:posOffset>97790</wp:posOffset>
                </wp:positionV>
                <wp:extent cx="6096000" cy="428625"/>
                <wp:effectExtent l="0" t="0" r="19050" b="28575"/>
                <wp:wrapNone/>
                <wp:docPr id="7" name="Text Box 7"/>
                <wp:cNvGraphicFramePr/>
                <a:graphic xmlns:a="http://schemas.openxmlformats.org/drawingml/2006/main">
                  <a:graphicData uri="http://schemas.microsoft.com/office/word/2010/wordprocessingShape">
                    <wps:wsp>
                      <wps:cNvSpPr txBox="1"/>
                      <wps:spPr>
                        <a:xfrm>
                          <a:off x="0" y="0"/>
                          <a:ext cx="6096000" cy="428625"/>
                        </a:xfrm>
                        <a:prstGeom prst="rect">
                          <a:avLst/>
                        </a:prstGeom>
                        <a:solidFill>
                          <a:schemeClr val="lt1"/>
                        </a:solidFill>
                        <a:ln w="6350">
                          <a:solidFill>
                            <a:prstClr val="black"/>
                          </a:solidFill>
                        </a:ln>
                      </wps:spPr>
                      <wps:txbx>
                        <w:txbxContent>
                          <w:p w14:paraId="56C99E01" w14:textId="77777777" w:rsidR="00DB5C21" w:rsidRPr="007B7CEE" w:rsidRDefault="00DB5C21" w:rsidP="007B7CEE">
                            <w:pPr>
                              <w:spacing w:after="180" w:line="240" w:lineRule="auto"/>
                              <w:rPr>
                                <w:rFonts w:ascii="Times New Roman" w:eastAsia="Times New Roman" w:hAnsi="Times New Roman" w:cs="Times New Roman"/>
                                <w:sz w:val="20"/>
                                <w:szCs w:val="20"/>
                                <w:lang w:val="en-GB"/>
                              </w:rPr>
                            </w:pPr>
                            <w:r w:rsidRPr="007B7CEE">
                              <w:rPr>
                                <w:rFonts w:ascii="Times New Roman" w:eastAsia="Malgun Gothic" w:hAnsi="Times New Roman" w:cs="Times New Roman"/>
                                <w:sz w:val="20"/>
                                <w:szCs w:val="20"/>
                              </w:rPr>
                              <w:t xml:space="preserve">[The configuration of </w:t>
                            </w:r>
                            <w:r w:rsidRPr="007B7CEE">
                              <w:rPr>
                                <w:rFonts w:ascii="Times New Roman" w:eastAsia="Malgun Gothic" w:hAnsi="Times New Roman" w:cs="Times New Roman"/>
                                <w:i/>
                                <w:iCs/>
                                <w:sz w:val="20"/>
                                <w:szCs w:val="20"/>
                              </w:rPr>
                              <w:t>intraCellGuardBandDL-r16</w:t>
                            </w:r>
                            <w:r w:rsidRPr="007B7CEE">
                              <w:rPr>
                                <w:rFonts w:ascii="Times New Roman" w:eastAsia="Malgun Gothic" w:hAnsi="Times New Roman" w:cs="Times New Roman"/>
                                <w:sz w:val="20"/>
                                <w:szCs w:val="20"/>
                              </w:rPr>
                              <w:t xml:space="preserve"> and </w:t>
                            </w:r>
                            <w:r w:rsidRPr="007B7CEE">
                              <w:rPr>
                                <w:rFonts w:ascii="Times New Roman" w:eastAsia="Malgun Gothic" w:hAnsi="Times New Roman" w:cs="Times New Roman"/>
                                <w:i/>
                                <w:iCs/>
                                <w:sz w:val="20"/>
                                <w:szCs w:val="20"/>
                              </w:rPr>
                              <w:t>intraCellGuardBandUL-r16</w:t>
                            </w:r>
                            <w:r w:rsidRPr="007B7CEE">
                              <w:rPr>
                                <w:rFonts w:ascii="Times New Roman" w:eastAsia="Malgun Gothic" w:hAnsi="Times New Roman" w:cs="Times New Roman"/>
                                <w:sz w:val="20"/>
                                <w:szCs w:val="20"/>
                              </w:rPr>
                              <w:t xml:space="preserve"> can indicate to the UE that no intra-cell guard-bands are configured.]</w:t>
                            </w:r>
                          </w:p>
                          <w:p w14:paraId="5EF81BD7" w14:textId="77777777" w:rsidR="00DB5C21" w:rsidRDefault="00DB5C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43E4D1E" id="Text Box 7" o:spid="_x0000_s1028" type="#_x0000_t202" style="position:absolute;margin-left:428.8pt;margin-top:7.7pt;width:480pt;height:33.75pt;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" fillcolor="white [3201]" strokeweight=".5pt">
                <v:textbox>
                  <w:txbxContent>
                    <w:p w14:paraId="56C99E01" w14:textId="77777777" w:rsidR="00DB5C21" w:rsidRPr="007B7CEE" w:rsidRDefault="00DB5C21" w:rsidP="007B7CEE">
                      <w:pPr>
                        <w:spacing w:after="180" w:line="240" w:lineRule="auto"/>
                        <w:rPr>
                          <w:rFonts w:ascii="Times New Roman" w:eastAsia="Times New Roman" w:hAnsi="Times New Roman" w:cs="Times New Roman"/>
                          <w:sz w:val="20"/>
                          <w:szCs w:val="20"/>
                          <w:lang w:val="en-GB"/>
                        </w:rPr>
                      </w:pPr>
                      <w:r w:rsidRPr="007B7CEE">
                        <w:rPr>
                          <w:rFonts w:ascii="Times New Roman" w:eastAsia="Malgun Gothic" w:hAnsi="Times New Roman" w:cs="Times New Roman"/>
                          <w:sz w:val="20"/>
                          <w:szCs w:val="20"/>
                        </w:rPr>
                        <w:t xml:space="preserve">[The configuration of </w:t>
                      </w:r>
                      <w:r w:rsidRPr="007B7CEE">
                        <w:rPr>
                          <w:rFonts w:ascii="Times New Roman" w:eastAsia="Malgun Gothic" w:hAnsi="Times New Roman" w:cs="Times New Roman"/>
                          <w:i/>
                          <w:iCs/>
                          <w:sz w:val="20"/>
                          <w:szCs w:val="20"/>
                        </w:rPr>
                        <w:t>intraCellGuardBandDL-r16</w:t>
                      </w:r>
                      <w:r w:rsidRPr="007B7CEE">
                        <w:rPr>
                          <w:rFonts w:ascii="Times New Roman" w:eastAsia="Malgun Gothic" w:hAnsi="Times New Roman" w:cs="Times New Roman"/>
                          <w:sz w:val="20"/>
                          <w:szCs w:val="20"/>
                        </w:rPr>
                        <w:t xml:space="preserve"> and </w:t>
                      </w:r>
                      <w:r w:rsidRPr="007B7CEE">
                        <w:rPr>
                          <w:rFonts w:ascii="Times New Roman" w:eastAsia="Malgun Gothic" w:hAnsi="Times New Roman" w:cs="Times New Roman"/>
                          <w:i/>
                          <w:iCs/>
                          <w:sz w:val="20"/>
                          <w:szCs w:val="20"/>
                        </w:rPr>
                        <w:t>intraCellGuardBandUL-r16</w:t>
                      </w:r>
                      <w:r w:rsidRPr="007B7CEE">
                        <w:rPr>
                          <w:rFonts w:ascii="Times New Roman" w:eastAsia="Malgun Gothic" w:hAnsi="Times New Roman" w:cs="Times New Roman"/>
                          <w:sz w:val="20"/>
                          <w:szCs w:val="20"/>
                        </w:rPr>
                        <w:t xml:space="preserve"> can indicate to the UE that no intra-cell guard-bands are configured.]</w:t>
                      </w:r>
                    </w:p>
                    <w:p w14:paraId="5EF81BD7" w14:textId="77777777" w:rsidR="00DB5C21" w:rsidRDefault="00DB5C21"/>
                  </w:txbxContent>
                </v:textbox>
                <w10:wrap anchorx="margin"/>
              </v:shape>
            </w:pict>
          </mc:Fallback>
        </mc:AlternateContent>
      </w:r>
    </w:p>
    <w:p w14:paraId="4F36F223" w14:textId="59F347B3" w:rsidR="007B7CEE" w:rsidRDefault="007B7CEE" w:rsidP="007B7CEE">
      <w:pPr>
        <w:rPr>
          <w:lang w:val="en-GB" w:eastAsia="ja-JP"/>
        </w:rPr>
      </w:pPr>
    </w:p>
    <w:p w14:paraId="0B8ADEA8" w14:textId="75776738" w:rsidR="00181686" w:rsidRDefault="00181686" w:rsidP="00181686">
      <w:pPr>
        <w:pStyle w:val="Proposal"/>
        <w:rPr>
          <w:lang w:val="en-GB"/>
        </w:rPr>
      </w:pPr>
      <w:bookmarkStart w:id="11" w:name="_Toc40462450"/>
      <w:r>
        <w:rPr>
          <w:lang w:val="en-GB"/>
        </w:rPr>
        <w:t xml:space="preserve">RAN1 to agree on a text proposal for 38.214 Section 7 for </w:t>
      </w:r>
      <w:r w:rsidR="0001647E">
        <w:rPr>
          <w:lang w:val="en-GB"/>
        </w:rPr>
        <w:t>configuration of UL and DL carriers without intra-cell guard bands</w:t>
      </w:r>
      <w:r>
        <w:rPr>
          <w:lang w:val="en-GB"/>
        </w:rPr>
        <w:t>.</w:t>
      </w:r>
      <w:bookmarkEnd w:id="11"/>
    </w:p>
    <w:p w14:paraId="6435F44D" w14:textId="5DC1FF6E" w:rsidR="00755E75" w:rsidRDefault="00755E75" w:rsidP="00755E75">
      <w:pPr>
        <w:pStyle w:val="Heading1"/>
      </w:pPr>
      <w:r w:rsidRPr="00755E75">
        <w:t>5</w:t>
      </w:r>
      <w:r w:rsidRPr="00755E75">
        <w:tab/>
      </w:r>
      <w:r>
        <w:t>Guard Band Configuration</w:t>
      </w:r>
      <w:r w:rsidRPr="00755E75">
        <w:t xml:space="preserve"> for Stand Alone Operation</w:t>
      </w:r>
    </w:p>
    <w:p w14:paraId="72B93E31" w14:textId="242BF63F" w:rsidR="0001647E" w:rsidRDefault="0001647E" w:rsidP="0001647E">
      <w:pPr>
        <w:rPr>
          <w:rFonts w:ascii="Arial" w:eastAsiaTheme="minorEastAsia" w:hAnsi="Arial"/>
          <w:lang w:val="en-GB" w:eastAsia="zh-CN"/>
        </w:rPr>
      </w:pPr>
      <w:r>
        <w:rPr>
          <w:rFonts w:ascii="Arial" w:eastAsiaTheme="minorEastAsia" w:hAnsi="Arial"/>
          <w:lang w:val="en-GB" w:eastAsia="zh-CN"/>
        </w:rPr>
        <w:t xml:space="preserve">As agreed in RAN1, the intra-cell guard bands are configured per cell. As a result RAN2 has added the parameters </w:t>
      </w:r>
      <w:r w:rsidRPr="0001647E">
        <w:rPr>
          <w:rFonts w:ascii="Arial" w:eastAsiaTheme="minorEastAsia" w:hAnsi="Arial"/>
          <w:i/>
          <w:iCs/>
          <w:lang w:val="en-GB" w:eastAsia="zh-CN"/>
        </w:rPr>
        <w:t>intraCellGuardBandDL-r16</w:t>
      </w:r>
      <w:r>
        <w:rPr>
          <w:rFonts w:ascii="Arial" w:eastAsiaTheme="minorEastAsia" w:hAnsi="Arial"/>
          <w:lang w:val="en-GB" w:eastAsia="zh-CN"/>
        </w:rPr>
        <w:t xml:space="preserve"> and </w:t>
      </w:r>
      <w:r w:rsidRPr="0001647E">
        <w:rPr>
          <w:rFonts w:ascii="Arial" w:eastAsiaTheme="minorEastAsia" w:hAnsi="Arial"/>
          <w:i/>
          <w:iCs/>
          <w:lang w:val="en-GB" w:eastAsia="zh-CN"/>
        </w:rPr>
        <w:t>intraCellGuardBandDL-r16</w:t>
      </w:r>
      <w:r>
        <w:rPr>
          <w:rFonts w:ascii="Arial" w:eastAsiaTheme="minorEastAsia" w:hAnsi="Arial"/>
          <w:lang w:val="en-GB" w:eastAsia="zh-CN"/>
        </w:rPr>
        <w:t xml:space="preserve"> in the IE </w:t>
      </w:r>
      <w:r w:rsidRPr="0001647E">
        <w:rPr>
          <w:rFonts w:ascii="Arial" w:eastAsiaTheme="minorEastAsia" w:hAnsi="Arial"/>
          <w:i/>
          <w:iCs/>
          <w:lang w:val="en-GB" w:eastAsia="zh-CN"/>
        </w:rPr>
        <w:t>ServingCellConfigCommon</w:t>
      </w:r>
      <w:r>
        <w:rPr>
          <w:rFonts w:ascii="Arial" w:eastAsiaTheme="minorEastAsia" w:hAnsi="Arial"/>
          <w:lang w:val="en-GB" w:eastAsia="zh-CN"/>
        </w:rPr>
        <w:t xml:space="preserve"> which is used for SCell addition or addition of an SCG. This applies to an LAA or Dual Connectivity scenario (Scenarios A and B in the WID). However, the parameters are missing from the IE </w:t>
      </w:r>
      <w:r w:rsidRPr="0001647E">
        <w:rPr>
          <w:rFonts w:ascii="Arial" w:eastAsiaTheme="minorEastAsia" w:hAnsi="Arial"/>
          <w:i/>
          <w:iCs/>
          <w:lang w:val="en-GB" w:eastAsia="zh-CN"/>
        </w:rPr>
        <w:t>ServingCellConfig</w:t>
      </w:r>
      <w:r>
        <w:rPr>
          <w:rFonts w:ascii="Arial" w:eastAsiaTheme="minorEastAsia" w:hAnsi="Arial"/>
          <w:lang w:val="en-GB" w:eastAsia="zh-CN"/>
        </w:rPr>
        <w:t xml:space="preserve"> which is used to configure the PCell, </w:t>
      </w:r>
      <w:r w:rsidR="00226BF6">
        <w:rPr>
          <w:rFonts w:ascii="Arial" w:eastAsiaTheme="minorEastAsia" w:hAnsi="Arial"/>
          <w:lang w:val="en-GB" w:eastAsia="zh-CN"/>
        </w:rPr>
        <w:t>which is needed for standalone operation in unlicensed bands (Scenario C in the WID). Since RAN2 relies on guidance from RAN1, RAN2 should be informed of this issue, e.g., through an update of the RRC parameter spreadsheet.</w:t>
      </w:r>
    </w:p>
    <w:p w14:paraId="59E8DB43" w14:textId="27F275B9" w:rsidR="0001647E" w:rsidRPr="00226BF6" w:rsidRDefault="00226BF6" w:rsidP="00755E75">
      <w:pPr>
        <w:pStyle w:val="Proposal"/>
        <w:rPr>
          <w:lang w:val="en-GB"/>
        </w:rPr>
      </w:pPr>
      <w:bookmarkStart w:id="12" w:name="_Toc40462451"/>
      <w:r>
        <w:rPr>
          <w:lang w:val="en-GB"/>
        </w:rPr>
        <w:t>Inform RAN2 that the parameter intraCellGuardBandUL-r16 and intraCellGuardBandDL-r16 need to be added to ServingCellConfig to support configuration of the PCell for standalone operation in unlicensed bands.</w:t>
      </w:r>
      <w:bookmarkEnd w:id="12"/>
    </w:p>
    <w:p w14:paraId="43850542" w14:textId="77777777" w:rsidR="00C01F33" w:rsidRPr="00CE0424" w:rsidRDefault="00C01F33" w:rsidP="00CE0424">
      <w:pPr>
        <w:pStyle w:val="Heading1"/>
      </w:pPr>
      <w:r w:rsidRPr="00CE0424">
        <w:lastRenderedPageBreak/>
        <w:t>Conclusion</w:t>
      </w:r>
    </w:p>
    <w:p w14:paraId="5BB6F434" w14:textId="02910857" w:rsidR="008878B1" w:rsidRDefault="008878B1" w:rsidP="006E1C82">
      <w:pPr>
        <w:pStyle w:val="BodyText"/>
      </w:pPr>
      <w:r>
        <w:t>Based on the discussion in the previous sections we observe the following:</w:t>
      </w:r>
    </w:p>
    <w:p w14:paraId="7A15EA4D" w14:textId="77777777" w:rsidR="00226BF6" w:rsidRPr="00D036B7" w:rsidRDefault="008878B1" w:rsidP="00D036B7">
      <w:pPr>
        <w:pStyle w:val="TableofFigures"/>
        <w:tabs>
          <w:tab w:val="right" w:leader="dot" w:pos="9629"/>
        </w:tabs>
        <w:rPr>
          <w:rStyle w:val="Hyperlink"/>
          <w:color w:val="auto"/>
          <w:u w:val="none"/>
          <w:lang w:val="en-GB"/>
        </w:rPr>
      </w:pPr>
      <w:r w:rsidRPr="00D036B7">
        <w:rPr>
          <w:rStyle w:val="Hyperlink"/>
          <w:noProof/>
          <w:color w:val="auto"/>
          <w:u w:val="none"/>
          <w:lang w:val="en-GB"/>
        </w:rPr>
        <w:fldChar w:fldCharType="begin"/>
      </w:r>
      <w:r w:rsidRPr="00D036B7">
        <w:rPr>
          <w:rStyle w:val="Hyperlink"/>
          <w:noProof/>
          <w:color w:val="auto"/>
          <w:u w:val="none"/>
          <w:lang w:val="en-GB"/>
        </w:rPr>
        <w:instrText xml:space="preserve"> TOC \n \t "Observation,1" </w:instrText>
      </w:r>
      <w:r w:rsidRPr="00D036B7">
        <w:rPr>
          <w:rStyle w:val="Hyperlink"/>
          <w:noProof/>
          <w:color w:val="auto"/>
          <w:u w:val="none"/>
          <w:lang w:val="en-GB"/>
        </w:rPr>
        <w:fldChar w:fldCharType="separate"/>
      </w:r>
      <w:r w:rsidR="00226BF6" w:rsidRPr="00D036B7">
        <w:rPr>
          <w:rStyle w:val="Hyperlink"/>
          <w:color w:val="auto"/>
          <w:u w:val="none"/>
          <w:lang w:val="en-GB"/>
        </w:rPr>
        <w:t>Observation 1</w:t>
      </w:r>
      <w:r w:rsidR="00226BF6" w:rsidRPr="00D036B7">
        <w:rPr>
          <w:rStyle w:val="Hyperlink"/>
          <w:color w:val="auto"/>
          <w:u w:val="none"/>
          <w:lang w:val="en-GB"/>
        </w:rPr>
        <w:tab/>
        <w:t>For an UL carrier configured with a 20 MHz carrier (single RB set), current signaling of “no guard bands” using nrofCRBs-r16 = 0 within intraCellGuardBandUL-r16 does not work.</w:t>
      </w:r>
    </w:p>
    <w:p w14:paraId="10F9A78F" w14:textId="0E0F3FF9" w:rsidR="008878B1" w:rsidRDefault="008878B1" w:rsidP="00D036B7">
      <w:pPr>
        <w:pStyle w:val="TableofFigures"/>
        <w:tabs>
          <w:tab w:val="right" w:leader="dot" w:pos="9629"/>
        </w:tabs>
      </w:pPr>
      <w:r w:rsidRPr="00D036B7">
        <w:rPr>
          <w:rStyle w:val="Hyperlink"/>
          <w:noProof/>
          <w:color w:val="auto"/>
          <w:u w:val="none"/>
          <w:lang w:val="en-GB"/>
        </w:rPr>
        <w:fldChar w:fldCharType="end"/>
      </w:r>
    </w:p>
    <w:p w14:paraId="2F339028" w14:textId="7BD955A1"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E625A39" w14:textId="4F7DFEDA" w:rsidR="00226BF6"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40462447" w:history="1">
        <w:r w:rsidR="00226BF6" w:rsidRPr="00E939C7">
          <w:rPr>
            <w:rStyle w:val="Hyperlink"/>
            <w:noProof/>
            <w:lang w:val="en-GB"/>
          </w:rPr>
          <w:t>Proposal 1</w:t>
        </w:r>
        <w:r w:rsidR="00226BF6">
          <w:rPr>
            <w:rFonts w:asciiTheme="minorHAnsi" w:eastAsiaTheme="minorEastAsia" w:hAnsiTheme="minorHAnsi"/>
            <w:b w:val="0"/>
            <w:noProof/>
            <w:lang w:eastAsia="en-US"/>
          </w:rPr>
          <w:tab/>
        </w:r>
        <w:r w:rsidR="00226BF6" w:rsidRPr="00E939C7">
          <w:rPr>
            <w:rStyle w:val="Hyperlink"/>
            <w:noProof/>
            <w:lang w:val="en-GB"/>
          </w:rPr>
          <w:t xml:space="preserve">Clarify in 38.214 Section 7 that when the parameter </w:t>
        </w:r>
        <w:r w:rsidR="00226BF6" w:rsidRPr="00E939C7">
          <w:rPr>
            <w:rStyle w:val="Hyperlink"/>
            <w:i/>
            <w:iCs/>
            <w:noProof/>
            <w:lang w:val="en-GB"/>
          </w:rPr>
          <w:t>intraCellGuardBandUL-r16</w:t>
        </w:r>
        <w:r w:rsidR="00226BF6" w:rsidRPr="00E939C7">
          <w:rPr>
            <w:rStyle w:val="Hyperlink"/>
            <w:noProof/>
            <w:lang w:val="en-GB"/>
          </w:rPr>
          <w:t xml:space="preserve"> or </w:t>
        </w:r>
        <w:r w:rsidR="00226BF6" w:rsidRPr="00E939C7">
          <w:rPr>
            <w:rStyle w:val="Hyperlink"/>
            <w:i/>
            <w:iCs/>
            <w:noProof/>
            <w:lang w:val="en-GB"/>
          </w:rPr>
          <w:t>intraCellGuardBandDL-r16</w:t>
        </w:r>
        <w:r w:rsidR="00226BF6" w:rsidRPr="00E939C7">
          <w:rPr>
            <w:rStyle w:val="Hyperlink"/>
            <w:noProof/>
            <w:lang w:val="en-GB"/>
          </w:rPr>
          <w:t xml:space="preserve"> is absent and the default configuration in 38.101-1 indicates that there are no guard bands for the carrier (i.e., 20 MHz carrier), then the number of RB sets is 1. When interlacing is configured for the UL carrier, the BWP spans the whole carrier, and the RB set index is 0 both within the carrier and within the UL BWP should.</w:t>
        </w:r>
      </w:hyperlink>
    </w:p>
    <w:p w14:paraId="7E2C126C" w14:textId="2F2C2E65" w:rsidR="00226BF6" w:rsidRDefault="00B710FA">
      <w:pPr>
        <w:pStyle w:val="TableofFigures"/>
        <w:tabs>
          <w:tab w:val="right" w:leader="dot" w:pos="9629"/>
        </w:tabs>
        <w:rPr>
          <w:rFonts w:asciiTheme="minorHAnsi" w:eastAsiaTheme="minorEastAsia" w:hAnsiTheme="minorHAnsi"/>
          <w:b w:val="0"/>
          <w:noProof/>
          <w:lang w:eastAsia="en-US"/>
        </w:rPr>
      </w:pPr>
      <w:hyperlink w:anchor="_Toc40462448" w:history="1">
        <w:r w:rsidR="00226BF6" w:rsidRPr="00E939C7">
          <w:rPr>
            <w:rStyle w:val="Hyperlink"/>
            <w:rFonts w:eastAsia="Gulim"/>
            <w:noProof/>
            <w:lang w:val="en-GB"/>
          </w:rPr>
          <w:t>Proposal 2</w:t>
        </w:r>
        <w:r w:rsidR="00226BF6">
          <w:rPr>
            <w:rFonts w:asciiTheme="minorHAnsi" w:eastAsiaTheme="minorEastAsia" w:hAnsiTheme="minorHAnsi"/>
            <w:b w:val="0"/>
            <w:noProof/>
            <w:lang w:eastAsia="en-US"/>
          </w:rPr>
          <w:tab/>
        </w:r>
        <w:r w:rsidR="00226BF6" w:rsidRPr="00E939C7">
          <w:rPr>
            <w:rStyle w:val="Hyperlink"/>
            <w:noProof/>
            <w:lang w:val="en-GB"/>
          </w:rPr>
          <w:t xml:space="preserve">For an UL carrier without intra-cell guard bands when the parameter </w:t>
        </w:r>
        <w:r w:rsidR="00226BF6" w:rsidRPr="00E939C7">
          <w:rPr>
            <w:rStyle w:val="Hyperlink"/>
            <w:i/>
            <w:iCs/>
            <w:noProof/>
            <w:lang w:val="en-GB"/>
          </w:rPr>
          <w:t>useInterlacePUCCH-PUCCH</w:t>
        </w:r>
        <w:r w:rsidR="00226BF6" w:rsidRPr="00E939C7">
          <w:rPr>
            <w:rStyle w:val="Hyperlink"/>
            <w:noProof/>
            <w:lang w:val="en-GB"/>
          </w:rPr>
          <w:t xml:space="preserve"> is configured in any of </w:t>
        </w:r>
        <w:r w:rsidR="00226BF6" w:rsidRPr="00E939C7">
          <w:rPr>
            <w:rStyle w:val="Hyperlink"/>
            <w:i/>
            <w:iCs/>
            <w:noProof/>
            <w:lang w:val="en-GB"/>
          </w:rPr>
          <w:t>BWP-UplinkCommon</w:t>
        </w:r>
        <w:r w:rsidR="00226BF6" w:rsidRPr="00E939C7">
          <w:rPr>
            <w:rStyle w:val="Hyperlink"/>
            <w:noProof/>
            <w:lang w:val="en-GB"/>
          </w:rPr>
          <w:t xml:space="preserve"> and </w:t>
        </w:r>
        <w:r w:rsidR="00226BF6" w:rsidRPr="00E939C7">
          <w:rPr>
            <w:rStyle w:val="Hyperlink"/>
            <w:i/>
            <w:iCs/>
            <w:noProof/>
            <w:lang w:val="en-GB"/>
          </w:rPr>
          <w:t>BWP-UplinkDedicated</w:t>
        </w:r>
        <w:r w:rsidR="00226BF6" w:rsidRPr="00E939C7">
          <w:rPr>
            <w:rStyle w:val="Hyperlink"/>
            <w:noProof/>
            <w:lang w:val="en-GB"/>
          </w:rPr>
          <w:t>, a BWP that overlaps one or more RB sets shall be configured such that it contains at least 10 RBs in at least one interlace in each overlapped RB set.</w:t>
        </w:r>
      </w:hyperlink>
    </w:p>
    <w:p w14:paraId="7BCBB1A4" w14:textId="15F7F5F8" w:rsidR="00226BF6" w:rsidRDefault="00B710FA">
      <w:pPr>
        <w:pStyle w:val="TableofFigures"/>
        <w:tabs>
          <w:tab w:val="right" w:leader="dot" w:pos="9629"/>
        </w:tabs>
        <w:rPr>
          <w:rFonts w:asciiTheme="minorHAnsi" w:eastAsiaTheme="minorEastAsia" w:hAnsiTheme="minorHAnsi"/>
          <w:b w:val="0"/>
          <w:noProof/>
          <w:lang w:eastAsia="en-US"/>
        </w:rPr>
      </w:pPr>
      <w:hyperlink w:anchor="_Toc40462449" w:history="1">
        <w:r w:rsidR="00226BF6" w:rsidRPr="00E939C7">
          <w:rPr>
            <w:rStyle w:val="Hyperlink"/>
            <w:noProof/>
            <w:lang w:val="en-GB"/>
          </w:rPr>
          <w:t>Proposal 3</w:t>
        </w:r>
        <w:r w:rsidR="00226BF6">
          <w:rPr>
            <w:rFonts w:asciiTheme="minorHAnsi" w:eastAsiaTheme="minorEastAsia" w:hAnsiTheme="minorHAnsi"/>
            <w:b w:val="0"/>
            <w:noProof/>
            <w:lang w:eastAsia="en-US"/>
          </w:rPr>
          <w:tab/>
        </w:r>
        <w:r w:rsidR="00226BF6" w:rsidRPr="00E939C7">
          <w:rPr>
            <w:rStyle w:val="Hyperlink"/>
            <w:noProof/>
            <w:lang w:val="en-GB"/>
          </w:rPr>
          <w:t xml:space="preserve">RAN1 should further discuss whether or not more than one RB set spanning the whole carrier is needed for a DL carrier configured without intra-cell guard bands. If only single RB set is needed, RAN1 to decide what the UE should expect from configuration of </w:t>
        </w:r>
        <w:r w:rsidR="00226BF6" w:rsidRPr="00E939C7">
          <w:rPr>
            <w:rStyle w:val="Hyperlink"/>
            <w:i/>
            <w:iCs/>
            <w:noProof/>
            <w:lang w:val="en-GB"/>
          </w:rPr>
          <w:t>intraCellGuardBandDL-r16</w:t>
        </w:r>
        <w:r w:rsidR="00226BF6" w:rsidRPr="00E939C7">
          <w:rPr>
            <w:rStyle w:val="Hyperlink"/>
            <w:noProof/>
            <w:lang w:val="en-GB"/>
          </w:rPr>
          <w:t xml:space="preserve"> with nrofCRBs-r16 = 0. Inform RAN2 of the RAN1 decision.</w:t>
        </w:r>
      </w:hyperlink>
    </w:p>
    <w:p w14:paraId="506ADCE2" w14:textId="7E143368" w:rsidR="00226BF6" w:rsidRDefault="00B710FA">
      <w:pPr>
        <w:pStyle w:val="TableofFigures"/>
        <w:tabs>
          <w:tab w:val="right" w:leader="dot" w:pos="9629"/>
        </w:tabs>
        <w:rPr>
          <w:rFonts w:asciiTheme="minorHAnsi" w:eastAsiaTheme="minorEastAsia" w:hAnsiTheme="minorHAnsi"/>
          <w:b w:val="0"/>
          <w:noProof/>
          <w:lang w:eastAsia="en-US"/>
        </w:rPr>
      </w:pPr>
      <w:hyperlink w:anchor="_Toc40462450" w:history="1">
        <w:r w:rsidR="00226BF6" w:rsidRPr="00E939C7">
          <w:rPr>
            <w:rStyle w:val="Hyperlink"/>
            <w:noProof/>
            <w:lang w:val="en-GB"/>
          </w:rPr>
          <w:t>Proposal 4</w:t>
        </w:r>
        <w:r w:rsidR="00226BF6">
          <w:rPr>
            <w:rFonts w:asciiTheme="minorHAnsi" w:eastAsiaTheme="minorEastAsia" w:hAnsiTheme="minorHAnsi"/>
            <w:b w:val="0"/>
            <w:noProof/>
            <w:lang w:eastAsia="en-US"/>
          </w:rPr>
          <w:tab/>
        </w:r>
        <w:r w:rsidR="00226BF6" w:rsidRPr="00E939C7">
          <w:rPr>
            <w:rStyle w:val="Hyperlink"/>
            <w:noProof/>
            <w:lang w:val="en-GB"/>
          </w:rPr>
          <w:t>RAN1 to agree on a text proposal for 38.214 Section 7 for configuration of UL and DL carriers without intra-cell guard bands.</w:t>
        </w:r>
      </w:hyperlink>
    </w:p>
    <w:p w14:paraId="2EA8B121" w14:textId="24D17CEB" w:rsidR="00226BF6" w:rsidRDefault="00B710FA">
      <w:pPr>
        <w:pStyle w:val="TableofFigures"/>
        <w:tabs>
          <w:tab w:val="right" w:leader="dot" w:pos="9629"/>
        </w:tabs>
        <w:rPr>
          <w:rFonts w:asciiTheme="minorHAnsi" w:eastAsiaTheme="minorEastAsia" w:hAnsiTheme="minorHAnsi"/>
          <w:b w:val="0"/>
          <w:noProof/>
          <w:lang w:eastAsia="en-US"/>
        </w:rPr>
      </w:pPr>
      <w:hyperlink w:anchor="_Toc40462451" w:history="1">
        <w:r w:rsidR="00226BF6" w:rsidRPr="00E939C7">
          <w:rPr>
            <w:rStyle w:val="Hyperlink"/>
            <w:noProof/>
            <w:lang w:val="en-GB"/>
          </w:rPr>
          <w:t>Proposal 5</w:t>
        </w:r>
        <w:r w:rsidR="00226BF6">
          <w:rPr>
            <w:rFonts w:asciiTheme="minorHAnsi" w:eastAsiaTheme="minorEastAsia" w:hAnsiTheme="minorHAnsi"/>
            <w:b w:val="0"/>
            <w:noProof/>
            <w:lang w:eastAsia="en-US"/>
          </w:rPr>
          <w:tab/>
        </w:r>
        <w:r w:rsidR="00226BF6" w:rsidRPr="00E939C7">
          <w:rPr>
            <w:rStyle w:val="Hyperlink"/>
            <w:noProof/>
            <w:lang w:val="en-GB"/>
          </w:rPr>
          <w:t>Inform RAN2 that the parameter intraCellGuardBandUL-r16 and intraCellGuardBandDL-r16 need to be added to ServingCellConfig to support configuration of the PCell for standalone operation in unlicensed bands.</w:t>
        </w:r>
      </w:hyperlink>
    </w:p>
    <w:p w14:paraId="4833A24B" w14:textId="47A34A33" w:rsidR="003A7EF3" w:rsidRPr="00181686" w:rsidRDefault="006E1C82" w:rsidP="00181686">
      <w:pPr>
        <w:pStyle w:val="BodyText"/>
        <w:rPr>
          <w:b/>
          <w:bCs/>
        </w:rPr>
      </w:pPr>
      <w:r>
        <w:rPr>
          <w:b/>
          <w:bCs/>
        </w:rPr>
        <w:fldChar w:fldCharType="end"/>
      </w:r>
      <w:bookmarkStart w:id="13" w:name="_In-sequence_SDU_delivery"/>
      <w:bookmarkEnd w:id="13"/>
    </w:p>
    <w:p w14:paraId="3E9D1135" w14:textId="77777777" w:rsidR="00E40A3E" w:rsidRPr="00CE0424" w:rsidRDefault="00E40A3E" w:rsidP="00E40A3E">
      <w:pPr>
        <w:pStyle w:val="Reference"/>
        <w:numPr>
          <w:ilvl w:val="0"/>
          <w:numId w:val="0"/>
        </w:numPr>
        <w:ind w:left="567" w:hanging="567"/>
      </w:pPr>
    </w:p>
    <w:sectPr w:rsidR="00E40A3E"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5FAEC" w14:textId="77777777" w:rsidR="00DB5C21" w:rsidRDefault="00DB5C21">
      <w:r>
        <w:separator/>
      </w:r>
    </w:p>
  </w:endnote>
  <w:endnote w:type="continuationSeparator" w:id="0">
    <w:p w14:paraId="4F61233F" w14:textId="77777777" w:rsidR="00DB5C21" w:rsidRDefault="00DB5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35682" w14:textId="77777777" w:rsidR="00DB5C21" w:rsidRDefault="00DB5C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47068" w14:textId="77777777" w:rsidR="00DB5C21" w:rsidRDefault="00DB5C21">
      <w:r>
        <w:separator/>
      </w:r>
    </w:p>
  </w:footnote>
  <w:footnote w:type="continuationSeparator" w:id="0">
    <w:p w14:paraId="64809FC8" w14:textId="77777777" w:rsidR="00DB5C21" w:rsidRDefault="00DB5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4E89" w14:textId="77777777" w:rsidR="00DB5C21" w:rsidRDefault="00DB5C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26F84"/>
    <w:multiLevelType w:val="hybridMultilevel"/>
    <w:tmpl w:val="B59CD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30290F"/>
    <w:multiLevelType w:val="hybridMultilevel"/>
    <w:tmpl w:val="9F34232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7A702F"/>
    <w:multiLevelType w:val="hybridMultilevel"/>
    <w:tmpl w:val="32B6C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124AF"/>
    <w:multiLevelType w:val="multilevel"/>
    <w:tmpl w:val="E9749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AA46647"/>
    <w:multiLevelType w:val="hybridMultilevel"/>
    <w:tmpl w:val="3B42AA2A"/>
    <w:lvl w:ilvl="0" w:tplc="A4AA7A3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706DFA"/>
    <w:multiLevelType w:val="hybridMultilevel"/>
    <w:tmpl w:val="A7CA7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F9F6146C"/>
    <w:lvl w:ilvl="0" w:tplc="F9DCF53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AE1FA0"/>
    <w:multiLevelType w:val="hybridMultilevel"/>
    <w:tmpl w:val="23141BEC"/>
    <w:lvl w:ilvl="0" w:tplc="3DAC67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144593"/>
    <w:multiLevelType w:val="hybridMultilevel"/>
    <w:tmpl w:val="A4F83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72668"/>
    <w:multiLevelType w:val="hybridMultilevel"/>
    <w:tmpl w:val="4EF0D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E471EF"/>
    <w:multiLevelType w:val="hybridMultilevel"/>
    <w:tmpl w:val="77128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0A0B7F"/>
    <w:multiLevelType w:val="hybridMultilevel"/>
    <w:tmpl w:val="FA4A6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455A5"/>
    <w:multiLevelType w:val="hybridMultilevel"/>
    <w:tmpl w:val="DCDEE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FD61ED"/>
    <w:multiLevelType w:val="hybridMultilevel"/>
    <w:tmpl w:val="18B08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791A7B"/>
    <w:multiLevelType w:val="hybridMultilevel"/>
    <w:tmpl w:val="413A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3"/>
  </w:num>
  <w:num w:numId="2">
    <w:abstractNumId w:val="23"/>
  </w:num>
  <w:num w:numId="3">
    <w:abstractNumId w:val="17"/>
  </w:num>
  <w:num w:numId="4">
    <w:abstractNumId w:val="18"/>
  </w:num>
  <w:num w:numId="5">
    <w:abstractNumId w:val="13"/>
  </w:num>
  <w:num w:numId="6">
    <w:abstractNumId w:val="20"/>
  </w:num>
  <w:num w:numId="7">
    <w:abstractNumId w:val="27"/>
  </w:num>
  <w:num w:numId="8">
    <w:abstractNumId w:val="14"/>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30"/>
  </w:num>
  <w:num w:numId="17">
    <w:abstractNumId w:val="7"/>
  </w:num>
  <w:num w:numId="18">
    <w:abstractNumId w:val="8"/>
  </w:num>
  <w:num w:numId="19">
    <w:abstractNumId w:val="6"/>
  </w:num>
  <w:num w:numId="20">
    <w:abstractNumId w:val="38"/>
  </w:num>
  <w:num w:numId="21">
    <w:abstractNumId w:val="15"/>
  </w:num>
  <w:num w:numId="22">
    <w:abstractNumId w:val="35"/>
  </w:num>
  <w:num w:numId="23">
    <w:abstractNumId w:val="22"/>
  </w:num>
  <w:num w:numId="24">
    <w:abstractNumId w:val="39"/>
  </w:num>
  <w:num w:numId="25">
    <w:abstractNumId w:val="16"/>
  </w:num>
  <w:num w:numId="26">
    <w:abstractNumId w:val="32"/>
  </w:num>
  <w:num w:numId="27">
    <w:abstractNumId w:val="37"/>
  </w:num>
  <w:num w:numId="28">
    <w:abstractNumId w:val="28"/>
  </w:num>
  <w:num w:numId="29">
    <w:abstractNumId w:val="29"/>
  </w:num>
  <w:num w:numId="30">
    <w:abstractNumId w:val="31"/>
  </w:num>
  <w:num w:numId="31">
    <w:abstractNumId w:val="11"/>
  </w:num>
  <w:num w:numId="32">
    <w:abstractNumId w:val="21"/>
  </w:num>
  <w:num w:numId="33">
    <w:abstractNumId w:val="26"/>
  </w:num>
  <w:num w:numId="34">
    <w:abstractNumId w:val="33"/>
  </w:num>
  <w:num w:numId="35">
    <w:abstractNumId w:val="34"/>
  </w:num>
  <w:num w:numId="36">
    <w:abstractNumId w:val="5"/>
  </w:num>
  <w:num w:numId="37">
    <w:abstractNumId w:val="5"/>
  </w:num>
  <w:num w:numId="38">
    <w:abstractNumId w:val="4"/>
  </w:num>
  <w:num w:numId="39">
    <w:abstractNumId w:val="10"/>
  </w:num>
  <w:num w:numId="40">
    <w:abstractNumId w:val="36"/>
  </w:num>
  <w:num w:numId="4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7D4"/>
    <w:rsid w:val="000006E1"/>
    <w:rsid w:val="00002A37"/>
    <w:rsid w:val="000034F3"/>
    <w:rsid w:val="0000564C"/>
    <w:rsid w:val="00006446"/>
    <w:rsid w:val="00006896"/>
    <w:rsid w:val="00007CDC"/>
    <w:rsid w:val="00011B28"/>
    <w:rsid w:val="00012A2A"/>
    <w:rsid w:val="000156B7"/>
    <w:rsid w:val="00015D15"/>
    <w:rsid w:val="0001647E"/>
    <w:rsid w:val="0002564D"/>
    <w:rsid w:val="00025ECA"/>
    <w:rsid w:val="00031E39"/>
    <w:rsid w:val="000325B8"/>
    <w:rsid w:val="00034C15"/>
    <w:rsid w:val="00036BA1"/>
    <w:rsid w:val="000422E2"/>
    <w:rsid w:val="00042F22"/>
    <w:rsid w:val="000444EF"/>
    <w:rsid w:val="00046840"/>
    <w:rsid w:val="00052A07"/>
    <w:rsid w:val="000534E3"/>
    <w:rsid w:val="0005606A"/>
    <w:rsid w:val="00057117"/>
    <w:rsid w:val="000616E7"/>
    <w:rsid w:val="0006487E"/>
    <w:rsid w:val="00065E1A"/>
    <w:rsid w:val="00077E5F"/>
    <w:rsid w:val="0008036A"/>
    <w:rsid w:val="00081AE6"/>
    <w:rsid w:val="000855EB"/>
    <w:rsid w:val="000856B5"/>
    <w:rsid w:val="00085B52"/>
    <w:rsid w:val="000866F2"/>
    <w:rsid w:val="0009009F"/>
    <w:rsid w:val="00091557"/>
    <w:rsid w:val="000924C1"/>
    <w:rsid w:val="000924F0"/>
    <w:rsid w:val="00093474"/>
    <w:rsid w:val="0009510F"/>
    <w:rsid w:val="000A1B7B"/>
    <w:rsid w:val="000A56F2"/>
    <w:rsid w:val="000A72C2"/>
    <w:rsid w:val="000B2719"/>
    <w:rsid w:val="000B3A8F"/>
    <w:rsid w:val="000B4AB9"/>
    <w:rsid w:val="000B5890"/>
    <w:rsid w:val="000B58C3"/>
    <w:rsid w:val="000B61E9"/>
    <w:rsid w:val="000B67FB"/>
    <w:rsid w:val="000C165A"/>
    <w:rsid w:val="000C2E19"/>
    <w:rsid w:val="000C3073"/>
    <w:rsid w:val="000D0D07"/>
    <w:rsid w:val="000D4797"/>
    <w:rsid w:val="000E0527"/>
    <w:rsid w:val="000E1E92"/>
    <w:rsid w:val="000E3014"/>
    <w:rsid w:val="000F06D6"/>
    <w:rsid w:val="000F0EB1"/>
    <w:rsid w:val="000F1106"/>
    <w:rsid w:val="000F3BE9"/>
    <w:rsid w:val="000F3F6C"/>
    <w:rsid w:val="000F5CF0"/>
    <w:rsid w:val="000F6DF3"/>
    <w:rsid w:val="001005FF"/>
    <w:rsid w:val="00102179"/>
    <w:rsid w:val="001062FB"/>
    <w:rsid w:val="001063E6"/>
    <w:rsid w:val="00113CF4"/>
    <w:rsid w:val="001153EA"/>
    <w:rsid w:val="0011550C"/>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686"/>
    <w:rsid w:val="00181FF8"/>
    <w:rsid w:val="00190AC1"/>
    <w:rsid w:val="00190F42"/>
    <w:rsid w:val="0019341A"/>
    <w:rsid w:val="00195DA9"/>
    <w:rsid w:val="00197DF9"/>
    <w:rsid w:val="001A1987"/>
    <w:rsid w:val="001A2564"/>
    <w:rsid w:val="001A6173"/>
    <w:rsid w:val="001A6CBA"/>
    <w:rsid w:val="001B0D97"/>
    <w:rsid w:val="001B37A7"/>
    <w:rsid w:val="001B5A5D"/>
    <w:rsid w:val="001C1CE5"/>
    <w:rsid w:val="001C3D2A"/>
    <w:rsid w:val="001D51BA"/>
    <w:rsid w:val="001D53E7"/>
    <w:rsid w:val="001D6342"/>
    <w:rsid w:val="001D6D53"/>
    <w:rsid w:val="001E0A6A"/>
    <w:rsid w:val="001E58E2"/>
    <w:rsid w:val="001E7AED"/>
    <w:rsid w:val="001F3916"/>
    <w:rsid w:val="001F54C5"/>
    <w:rsid w:val="001F662C"/>
    <w:rsid w:val="001F7074"/>
    <w:rsid w:val="00200490"/>
    <w:rsid w:val="00201F3A"/>
    <w:rsid w:val="00203F96"/>
    <w:rsid w:val="002069B2"/>
    <w:rsid w:val="00207FA3"/>
    <w:rsid w:val="00214DA8"/>
    <w:rsid w:val="00215266"/>
    <w:rsid w:val="00215423"/>
    <w:rsid w:val="002158FA"/>
    <w:rsid w:val="00220600"/>
    <w:rsid w:val="002224DB"/>
    <w:rsid w:val="00223FCB"/>
    <w:rsid w:val="002252C3"/>
    <w:rsid w:val="00225C54"/>
    <w:rsid w:val="00226BF6"/>
    <w:rsid w:val="00230765"/>
    <w:rsid w:val="00230BEB"/>
    <w:rsid w:val="00230D18"/>
    <w:rsid w:val="00230D55"/>
    <w:rsid w:val="002319E4"/>
    <w:rsid w:val="00235632"/>
    <w:rsid w:val="00235872"/>
    <w:rsid w:val="00236220"/>
    <w:rsid w:val="00241559"/>
    <w:rsid w:val="002435B3"/>
    <w:rsid w:val="002458EB"/>
    <w:rsid w:val="002500C8"/>
    <w:rsid w:val="00257543"/>
    <w:rsid w:val="002617E7"/>
    <w:rsid w:val="00264228"/>
    <w:rsid w:val="00264334"/>
    <w:rsid w:val="0026473E"/>
    <w:rsid w:val="00266214"/>
    <w:rsid w:val="00267C83"/>
    <w:rsid w:val="0027144F"/>
    <w:rsid w:val="00271813"/>
    <w:rsid w:val="00271A71"/>
    <w:rsid w:val="00271F3A"/>
    <w:rsid w:val="00273278"/>
    <w:rsid w:val="002737F4"/>
    <w:rsid w:val="002805F5"/>
    <w:rsid w:val="00280751"/>
    <w:rsid w:val="0028280A"/>
    <w:rsid w:val="00282FDA"/>
    <w:rsid w:val="00286ACD"/>
    <w:rsid w:val="00287838"/>
    <w:rsid w:val="002907B5"/>
    <w:rsid w:val="00292EB7"/>
    <w:rsid w:val="00294645"/>
    <w:rsid w:val="00296227"/>
    <w:rsid w:val="00296F44"/>
    <w:rsid w:val="0029777D"/>
    <w:rsid w:val="002A055E"/>
    <w:rsid w:val="002A1D4E"/>
    <w:rsid w:val="002A2869"/>
    <w:rsid w:val="002B24D6"/>
    <w:rsid w:val="002B7173"/>
    <w:rsid w:val="002C41E6"/>
    <w:rsid w:val="002D071A"/>
    <w:rsid w:val="002D34B2"/>
    <w:rsid w:val="002D48B0"/>
    <w:rsid w:val="002D5B37"/>
    <w:rsid w:val="002D6E72"/>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264"/>
    <w:rsid w:val="003203ED"/>
    <w:rsid w:val="00322C9F"/>
    <w:rsid w:val="00324D23"/>
    <w:rsid w:val="00325761"/>
    <w:rsid w:val="00331751"/>
    <w:rsid w:val="00334579"/>
    <w:rsid w:val="00335858"/>
    <w:rsid w:val="00336BDA"/>
    <w:rsid w:val="00342BD7"/>
    <w:rsid w:val="00346DB5"/>
    <w:rsid w:val="003477B1"/>
    <w:rsid w:val="00357380"/>
    <w:rsid w:val="003602D9"/>
    <w:rsid w:val="003604CE"/>
    <w:rsid w:val="00370E47"/>
    <w:rsid w:val="003742AC"/>
    <w:rsid w:val="00377CE1"/>
    <w:rsid w:val="00380FEF"/>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7F1"/>
    <w:rsid w:val="003D5B1F"/>
    <w:rsid w:val="003E032C"/>
    <w:rsid w:val="003E15FA"/>
    <w:rsid w:val="003E55E4"/>
    <w:rsid w:val="003E74E3"/>
    <w:rsid w:val="003F05C7"/>
    <w:rsid w:val="003F2CD4"/>
    <w:rsid w:val="003F581B"/>
    <w:rsid w:val="003F6BBE"/>
    <w:rsid w:val="004000E8"/>
    <w:rsid w:val="004009D8"/>
    <w:rsid w:val="00402E2B"/>
    <w:rsid w:val="0040512B"/>
    <w:rsid w:val="00405CA5"/>
    <w:rsid w:val="00407CD3"/>
    <w:rsid w:val="00410134"/>
    <w:rsid w:val="00410B72"/>
    <w:rsid w:val="00410F18"/>
    <w:rsid w:val="0041263E"/>
    <w:rsid w:val="00413AAC"/>
    <w:rsid w:val="00413E92"/>
    <w:rsid w:val="00421105"/>
    <w:rsid w:val="00422AA4"/>
    <w:rsid w:val="0042316A"/>
    <w:rsid w:val="004242F4"/>
    <w:rsid w:val="00427248"/>
    <w:rsid w:val="00437447"/>
    <w:rsid w:val="00441A92"/>
    <w:rsid w:val="004431DC"/>
    <w:rsid w:val="00444F56"/>
    <w:rsid w:val="00446488"/>
    <w:rsid w:val="004517AA"/>
    <w:rsid w:val="00452CAC"/>
    <w:rsid w:val="00457565"/>
    <w:rsid w:val="00457B71"/>
    <w:rsid w:val="0046366F"/>
    <w:rsid w:val="00464689"/>
    <w:rsid w:val="004669E2"/>
    <w:rsid w:val="00470C31"/>
    <w:rsid w:val="00471DE0"/>
    <w:rsid w:val="00472553"/>
    <w:rsid w:val="004734D0"/>
    <w:rsid w:val="0047556B"/>
    <w:rsid w:val="00477768"/>
    <w:rsid w:val="00477F67"/>
    <w:rsid w:val="00492BC5"/>
    <w:rsid w:val="004964F1"/>
    <w:rsid w:val="004A16BC"/>
    <w:rsid w:val="004A2B94"/>
    <w:rsid w:val="004A6E97"/>
    <w:rsid w:val="004B6F6A"/>
    <w:rsid w:val="004B7C0C"/>
    <w:rsid w:val="004C3898"/>
    <w:rsid w:val="004D36B1"/>
    <w:rsid w:val="004D54DF"/>
    <w:rsid w:val="004D7EBD"/>
    <w:rsid w:val="004E2680"/>
    <w:rsid w:val="004E28F9"/>
    <w:rsid w:val="004E374A"/>
    <w:rsid w:val="004E462E"/>
    <w:rsid w:val="004E56DC"/>
    <w:rsid w:val="004E76F4"/>
    <w:rsid w:val="004F0B4E"/>
    <w:rsid w:val="004F0B6C"/>
    <w:rsid w:val="004F2078"/>
    <w:rsid w:val="004F4DA3"/>
    <w:rsid w:val="00506557"/>
    <w:rsid w:val="0050677A"/>
    <w:rsid w:val="005108D8"/>
    <w:rsid w:val="005116F9"/>
    <w:rsid w:val="00512C9A"/>
    <w:rsid w:val="005153A7"/>
    <w:rsid w:val="005219CF"/>
    <w:rsid w:val="0052729D"/>
    <w:rsid w:val="00534B59"/>
    <w:rsid w:val="00536759"/>
    <w:rsid w:val="00537C62"/>
    <w:rsid w:val="00546970"/>
    <w:rsid w:val="00554E19"/>
    <w:rsid w:val="00557131"/>
    <w:rsid w:val="0056121F"/>
    <w:rsid w:val="00572505"/>
    <w:rsid w:val="0058199D"/>
    <w:rsid w:val="00582809"/>
    <w:rsid w:val="0058798C"/>
    <w:rsid w:val="005900FA"/>
    <w:rsid w:val="005935A4"/>
    <w:rsid w:val="00594695"/>
    <w:rsid w:val="005948C2"/>
    <w:rsid w:val="00595DCA"/>
    <w:rsid w:val="0059779B"/>
    <w:rsid w:val="005A0370"/>
    <w:rsid w:val="005A209A"/>
    <w:rsid w:val="005A662D"/>
    <w:rsid w:val="005B1409"/>
    <w:rsid w:val="005B35D7"/>
    <w:rsid w:val="005B392A"/>
    <w:rsid w:val="005B3AA3"/>
    <w:rsid w:val="005B6F83"/>
    <w:rsid w:val="005C1A8E"/>
    <w:rsid w:val="005C74FB"/>
    <w:rsid w:val="005D1602"/>
    <w:rsid w:val="005D7195"/>
    <w:rsid w:val="005E385F"/>
    <w:rsid w:val="005E542E"/>
    <w:rsid w:val="005E5B81"/>
    <w:rsid w:val="005F05A6"/>
    <w:rsid w:val="005F223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FEC"/>
    <w:rsid w:val="0069417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4BB3"/>
    <w:rsid w:val="006D6F08"/>
    <w:rsid w:val="006E062C"/>
    <w:rsid w:val="006E1C82"/>
    <w:rsid w:val="006E28B7"/>
    <w:rsid w:val="006E2A9B"/>
    <w:rsid w:val="006E3310"/>
    <w:rsid w:val="006E4E39"/>
    <w:rsid w:val="006E565E"/>
    <w:rsid w:val="006E6436"/>
    <w:rsid w:val="006E673D"/>
    <w:rsid w:val="006E7D3B"/>
    <w:rsid w:val="006F1B70"/>
    <w:rsid w:val="006F231B"/>
    <w:rsid w:val="006F341D"/>
    <w:rsid w:val="006F3CDE"/>
    <w:rsid w:val="006F58D4"/>
    <w:rsid w:val="006F6582"/>
    <w:rsid w:val="0070346E"/>
    <w:rsid w:val="00704EDB"/>
    <w:rsid w:val="00706101"/>
    <w:rsid w:val="00707072"/>
    <w:rsid w:val="00707D61"/>
    <w:rsid w:val="00712287"/>
    <w:rsid w:val="00712772"/>
    <w:rsid w:val="007148D3"/>
    <w:rsid w:val="00715B9A"/>
    <w:rsid w:val="00720877"/>
    <w:rsid w:val="007257D0"/>
    <w:rsid w:val="00726EA6"/>
    <w:rsid w:val="00727208"/>
    <w:rsid w:val="00727680"/>
    <w:rsid w:val="007348B1"/>
    <w:rsid w:val="007362A6"/>
    <w:rsid w:val="00736D7D"/>
    <w:rsid w:val="00737B5A"/>
    <w:rsid w:val="00740E58"/>
    <w:rsid w:val="00743A6F"/>
    <w:rsid w:val="007445A0"/>
    <w:rsid w:val="0074524B"/>
    <w:rsid w:val="00747D8B"/>
    <w:rsid w:val="00751228"/>
    <w:rsid w:val="00755E75"/>
    <w:rsid w:val="007571E1"/>
    <w:rsid w:val="007604B2"/>
    <w:rsid w:val="00761708"/>
    <w:rsid w:val="00765281"/>
    <w:rsid w:val="00766BAD"/>
    <w:rsid w:val="007729A2"/>
    <w:rsid w:val="007755F2"/>
    <w:rsid w:val="00776971"/>
    <w:rsid w:val="00780A80"/>
    <w:rsid w:val="0078177E"/>
    <w:rsid w:val="0078304C"/>
    <w:rsid w:val="00783673"/>
    <w:rsid w:val="00785490"/>
    <w:rsid w:val="007925EA"/>
    <w:rsid w:val="00793CD8"/>
    <w:rsid w:val="0079498B"/>
    <w:rsid w:val="00795C92"/>
    <w:rsid w:val="00796231"/>
    <w:rsid w:val="007A1406"/>
    <w:rsid w:val="007A1CB3"/>
    <w:rsid w:val="007A306F"/>
    <w:rsid w:val="007A43A6"/>
    <w:rsid w:val="007A58A6"/>
    <w:rsid w:val="007B1FB1"/>
    <w:rsid w:val="007B3D2D"/>
    <w:rsid w:val="007B50AE"/>
    <w:rsid w:val="007B51DF"/>
    <w:rsid w:val="007B7CEE"/>
    <w:rsid w:val="007C05DD"/>
    <w:rsid w:val="007C3D18"/>
    <w:rsid w:val="007C60BF"/>
    <w:rsid w:val="007C6A07"/>
    <w:rsid w:val="007C75A1"/>
    <w:rsid w:val="007C77A5"/>
    <w:rsid w:val="007D04E5"/>
    <w:rsid w:val="007D39EE"/>
    <w:rsid w:val="007D5901"/>
    <w:rsid w:val="007D7526"/>
    <w:rsid w:val="007E4610"/>
    <w:rsid w:val="007E4715"/>
    <w:rsid w:val="007E505B"/>
    <w:rsid w:val="007E7091"/>
    <w:rsid w:val="007F0839"/>
    <w:rsid w:val="007F3530"/>
    <w:rsid w:val="00803D52"/>
    <w:rsid w:val="00803FAE"/>
    <w:rsid w:val="0080605F"/>
    <w:rsid w:val="00807786"/>
    <w:rsid w:val="00811FCB"/>
    <w:rsid w:val="008158D6"/>
    <w:rsid w:val="00817196"/>
    <w:rsid w:val="008235DB"/>
    <w:rsid w:val="0082370E"/>
    <w:rsid w:val="00824AB4"/>
    <w:rsid w:val="00825C42"/>
    <w:rsid w:val="00825D25"/>
    <w:rsid w:val="00827D6F"/>
    <w:rsid w:val="00833463"/>
    <w:rsid w:val="008376AC"/>
    <w:rsid w:val="008444E8"/>
    <w:rsid w:val="00844E80"/>
    <w:rsid w:val="00846FE7"/>
    <w:rsid w:val="00856911"/>
    <w:rsid w:val="00864684"/>
    <w:rsid w:val="008677FD"/>
    <w:rsid w:val="008704D9"/>
    <w:rsid w:val="008706D4"/>
    <w:rsid w:val="00870F8A"/>
    <w:rsid w:val="008719A4"/>
    <w:rsid w:val="00871D23"/>
    <w:rsid w:val="00874312"/>
    <w:rsid w:val="0087437C"/>
    <w:rsid w:val="00874FBF"/>
    <w:rsid w:val="00875CD7"/>
    <w:rsid w:val="00876B4D"/>
    <w:rsid w:val="00877F18"/>
    <w:rsid w:val="008878B1"/>
    <w:rsid w:val="008941E3"/>
    <w:rsid w:val="00894A88"/>
    <w:rsid w:val="00895386"/>
    <w:rsid w:val="008A21FF"/>
    <w:rsid w:val="008A2CE2"/>
    <w:rsid w:val="008A30AC"/>
    <w:rsid w:val="008A44B8"/>
    <w:rsid w:val="008A51A8"/>
    <w:rsid w:val="008A54C7"/>
    <w:rsid w:val="008A58B7"/>
    <w:rsid w:val="008A6254"/>
    <w:rsid w:val="008A77D8"/>
    <w:rsid w:val="008B0483"/>
    <w:rsid w:val="008B120C"/>
    <w:rsid w:val="008B51A0"/>
    <w:rsid w:val="008B592A"/>
    <w:rsid w:val="008B6954"/>
    <w:rsid w:val="008B7B5C"/>
    <w:rsid w:val="008C0C99"/>
    <w:rsid w:val="008C2017"/>
    <w:rsid w:val="008C4958"/>
    <w:rsid w:val="008C4BAA"/>
    <w:rsid w:val="008C6AE8"/>
    <w:rsid w:val="008C7573"/>
    <w:rsid w:val="008D00A5"/>
    <w:rsid w:val="008D34F1"/>
    <w:rsid w:val="008D39D8"/>
    <w:rsid w:val="008D6D1A"/>
    <w:rsid w:val="008E0007"/>
    <w:rsid w:val="008E065E"/>
    <w:rsid w:val="008E0927"/>
    <w:rsid w:val="008E1909"/>
    <w:rsid w:val="008E5FA7"/>
    <w:rsid w:val="008F1C4E"/>
    <w:rsid w:val="008F1EAB"/>
    <w:rsid w:val="008F3252"/>
    <w:rsid w:val="008F33DC"/>
    <w:rsid w:val="008F477F"/>
    <w:rsid w:val="00902350"/>
    <w:rsid w:val="009027D4"/>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0FF"/>
    <w:rsid w:val="00953920"/>
    <w:rsid w:val="00953D47"/>
    <w:rsid w:val="009546E6"/>
    <w:rsid w:val="0095681E"/>
    <w:rsid w:val="009572D4"/>
    <w:rsid w:val="00961921"/>
    <w:rsid w:val="0096283D"/>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698"/>
    <w:rsid w:val="009A3BB6"/>
    <w:rsid w:val="009A462D"/>
    <w:rsid w:val="009A55B4"/>
    <w:rsid w:val="009A5CBA"/>
    <w:rsid w:val="009B1F30"/>
    <w:rsid w:val="009B25D6"/>
    <w:rsid w:val="009B3AC2"/>
    <w:rsid w:val="009B4DF4"/>
    <w:rsid w:val="009B564E"/>
    <w:rsid w:val="009B7E87"/>
    <w:rsid w:val="009C0169"/>
    <w:rsid w:val="009C1BF5"/>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4620"/>
    <w:rsid w:val="00A264A9"/>
    <w:rsid w:val="00A26DCF"/>
    <w:rsid w:val="00A27785"/>
    <w:rsid w:val="00A30187"/>
    <w:rsid w:val="00A3387A"/>
    <w:rsid w:val="00A3448A"/>
    <w:rsid w:val="00A35BFB"/>
    <w:rsid w:val="00A36297"/>
    <w:rsid w:val="00A41E2B"/>
    <w:rsid w:val="00A459B2"/>
    <w:rsid w:val="00A45B74"/>
    <w:rsid w:val="00A50FC6"/>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29C"/>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06BB"/>
    <w:rsid w:val="00B157F9"/>
    <w:rsid w:val="00B20256"/>
    <w:rsid w:val="00B20D09"/>
    <w:rsid w:val="00B2763F"/>
    <w:rsid w:val="00B27AAC"/>
    <w:rsid w:val="00B30929"/>
    <w:rsid w:val="00B3391B"/>
    <w:rsid w:val="00B372AA"/>
    <w:rsid w:val="00B40445"/>
    <w:rsid w:val="00B409E0"/>
    <w:rsid w:val="00B41888"/>
    <w:rsid w:val="00B45A52"/>
    <w:rsid w:val="00B46175"/>
    <w:rsid w:val="00B50A2F"/>
    <w:rsid w:val="00B532F2"/>
    <w:rsid w:val="00B548B7"/>
    <w:rsid w:val="00B601AE"/>
    <w:rsid w:val="00B664C7"/>
    <w:rsid w:val="00B710FA"/>
    <w:rsid w:val="00B739F6"/>
    <w:rsid w:val="00B7671D"/>
    <w:rsid w:val="00B81A6C"/>
    <w:rsid w:val="00B82127"/>
    <w:rsid w:val="00B85DE5"/>
    <w:rsid w:val="00B90F73"/>
    <w:rsid w:val="00B93B59"/>
    <w:rsid w:val="00B9406A"/>
    <w:rsid w:val="00BA2280"/>
    <w:rsid w:val="00BA2A08"/>
    <w:rsid w:val="00BA56D2"/>
    <w:rsid w:val="00BA76E0"/>
    <w:rsid w:val="00BB2A25"/>
    <w:rsid w:val="00BB51E9"/>
    <w:rsid w:val="00BC0FDC"/>
    <w:rsid w:val="00BC3053"/>
    <w:rsid w:val="00BC4208"/>
    <w:rsid w:val="00BC4D2E"/>
    <w:rsid w:val="00BD0EA2"/>
    <w:rsid w:val="00BD48AC"/>
    <w:rsid w:val="00BD5F1A"/>
    <w:rsid w:val="00BE1234"/>
    <w:rsid w:val="00BE2FA6"/>
    <w:rsid w:val="00BE333F"/>
    <w:rsid w:val="00BE5BCC"/>
    <w:rsid w:val="00BE7406"/>
    <w:rsid w:val="00BE7603"/>
    <w:rsid w:val="00BF3279"/>
    <w:rsid w:val="00BF6BDB"/>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4274"/>
    <w:rsid w:val="00C3719D"/>
    <w:rsid w:val="00C37CB2"/>
    <w:rsid w:val="00C473A5"/>
    <w:rsid w:val="00C5236B"/>
    <w:rsid w:val="00C54995"/>
    <w:rsid w:val="00C54D41"/>
    <w:rsid w:val="00C60783"/>
    <w:rsid w:val="00C64672"/>
    <w:rsid w:val="00C70626"/>
    <w:rsid w:val="00C70697"/>
    <w:rsid w:val="00C71456"/>
    <w:rsid w:val="00C72093"/>
    <w:rsid w:val="00C72EF4"/>
    <w:rsid w:val="00C744FE"/>
    <w:rsid w:val="00C75D2F"/>
    <w:rsid w:val="00C767BE"/>
    <w:rsid w:val="00C76E3C"/>
    <w:rsid w:val="00C81568"/>
    <w:rsid w:val="00C9027A"/>
    <w:rsid w:val="00C9068E"/>
    <w:rsid w:val="00C92838"/>
    <w:rsid w:val="00C93814"/>
    <w:rsid w:val="00C93C4B"/>
    <w:rsid w:val="00C944AB"/>
    <w:rsid w:val="00C95B40"/>
    <w:rsid w:val="00CA1ED8"/>
    <w:rsid w:val="00CB1F63"/>
    <w:rsid w:val="00CB65A9"/>
    <w:rsid w:val="00CB7170"/>
    <w:rsid w:val="00CC040E"/>
    <w:rsid w:val="00CC111F"/>
    <w:rsid w:val="00CC13E4"/>
    <w:rsid w:val="00CC2011"/>
    <w:rsid w:val="00CC3EA0"/>
    <w:rsid w:val="00CC72BC"/>
    <w:rsid w:val="00CC7B45"/>
    <w:rsid w:val="00CC7F6E"/>
    <w:rsid w:val="00CD1188"/>
    <w:rsid w:val="00CD2ED1"/>
    <w:rsid w:val="00CD337B"/>
    <w:rsid w:val="00CE0424"/>
    <w:rsid w:val="00CE2992"/>
    <w:rsid w:val="00CE7561"/>
    <w:rsid w:val="00CF1354"/>
    <w:rsid w:val="00CF3B1F"/>
    <w:rsid w:val="00CF3BF6"/>
    <w:rsid w:val="00CF47ED"/>
    <w:rsid w:val="00CF5E62"/>
    <w:rsid w:val="00CF625B"/>
    <w:rsid w:val="00CF687E"/>
    <w:rsid w:val="00D0349B"/>
    <w:rsid w:val="00D036B7"/>
    <w:rsid w:val="00D10249"/>
    <w:rsid w:val="00D115C3"/>
    <w:rsid w:val="00D11897"/>
    <w:rsid w:val="00D125C3"/>
    <w:rsid w:val="00D13135"/>
    <w:rsid w:val="00D13E4E"/>
    <w:rsid w:val="00D239A7"/>
    <w:rsid w:val="00D23F47"/>
    <w:rsid w:val="00D253E0"/>
    <w:rsid w:val="00D30377"/>
    <w:rsid w:val="00D36E71"/>
    <w:rsid w:val="00D37D87"/>
    <w:rsid w:val="00D40B33"/>
    <w:rsid w:val="00D4149E"/>
    <w:rsid w:val="00D4318F"/>
    <w:rsid w:val="00D438BF"/>
    <w:rsid w:val="00D440F8"/>
    <w:rsid w:val="00D546FF"/>
    <w:rsid w:val="00D55AD5"/>
    <w:rsid w:val="00D576CA"/>
    <w:rsid w:val="00D57D95"/>
    <w:rsid w:val="00D61AF5"/>
    <w:rsid w:val="00D652B5"/>
    <w:rsid w:val="00D66155"/>
    <w:rsid w:val="00D708B0"/>
    <w:rsid w:val="00D77B1D"/>
    <w:rsid w:val="00D8021F"/>
    <w:rsid w:val="00D80383"/>
    <w:rsid w:val="00D823C6"/>
    <w:rsid w:val="00D8327F"/>
    <w:rsid w:val="00D86CA3"/>
    <w:rsid w:val="00D871CE"/>
    <w:rsid w:val="00D9196D"/>
    <w:rsid w:val="00D92982"/>
    <w:rsid w:val="00D955C4"/>
    <w:rsid w:val="00DA305E"/>
    <w:rsid w:val="00DA5417"/>
    <w:rsid w:val="00DA56E8"/>
    <w:rsid w:val="00DB0A9F"/>
    <w:rsid w:val="00DB377D"/>
    <w:rsid w:val="00DB5C21"/>
    <w:rsid w:val="00DB7B64"/>
    <w:rsid w:val="00DC1880"/>
    <w:rsid w:val="00DC2D36"/>
    <w:rsid w:val="00DC53EF"/>
    <w:rsid w:val="00DD1CA5"/>
    <w:rsid w:val="00DE5608"/>
    <w:rsid w:val="00DE58D0"/>
    <w:rsid w:val="00DE654F"/>
    <w:rsid w:val="00DF0B6E"/>
    <w:rsid w:val="00DF15E0"/>
    <w:rsid w:val="00DF37A0"/>
    <w:rsid w:val="00E029E8"/>
    <w:rsid w:val="00E02C9F"/>
    <w:rsid w:val="00E0568F"/>
    <w:rsid w:val="00E110E7"/>
    <w:rsid w:val="00E11B20"/>
    <w:rsid w:val="00E17FA2"/>
    <w:rsid w:val="00E22330"/>
    <w:rsid w:val="00E22AC0"/>
    <w:rsid w:val="00E30B5A"/>
    <w:rsid w:val="00E3123D"/>
    <w:rsid w:val="00E31461"/>
    <w:rsid w:val="00E31D43"/>
    <w:rsid w:val="00E32608"/>
    <w:rsid w:val="00E34188"/>
    <w:rsid w:val="00E34B6E"/>
    <w:rsid w:val="00E35559"/>
    <w:rsid w:val="00E3723A"/>
    <w:rsid w:val="00E37860"/>
    <w:rsid w:val="00E40A3E"/>
    <w:rsid w:val="00E446F1"/>
    <w:rsid w:val="00E46886"/>
    <w:rsid w:val="00E47AEF"/>
    <w:rsid w:val="00E53B75"/>
    <w:rsid w:val="00E54E3B"/>
    <w:rsid w:val="00E558A5"/>
    <w:rsid w:val="00E57565"/>
    <w:rsid w:val="00E63838"/>
    <w:rsid w:val="00E64434"/>
    <w:rsid w:val="00E67C51"/>
    <w:rsid w:val="00E72EFC"/>
    <w:rsid w:val="00E758EC"/>
    <w:rsid w:val="00E8234C"/>
    <w:rsid w:val="00E83AA9"/>
    <w:rsid w:val="00E85928"/>
    <w:rsid w:val="00E87822"/>
    <w:rsid w:val="00E90395"/>
    <w:rsid w:val="00E90446"/>
    <w:rsid w:val="00E90E49"/>
    <w:rsid w:val="00E917F9"/>
    <w:rsid w:val="00E928B1"/>
    <w:rsid w:val="00E9291C"/>
    <w:rsid w:val="00E93FFE"/>
    <w:rsid w:val="00E94F8A"/>
    <w:rsid w:val="00E97F4A"/>
    <w:rsid w:val="00EA5683"/>
    <w:rsid w:val="00EA7A41"/>
    <w:rsid w:val="00EB077B"/>
    <w:rsid w:val="00EB4EA2"/>
    <w:rsid w:val="00EC24D5"/>
    <w:rsid w:val="00EC27C6"/>
    <w:rsid w:val="00EC330C"/>
    <w:rsid w:val="00EC4207"/>
    <w:rsid w:val="00EC52AD"/>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3205"/>
    <w:rsid w:val="00F3490C"/>
    <w:rsid w:val="00F40F0C"/>
    <w:rsid w:val="00F41806"/>
    <w:rsid w:val="00F4711E"/>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541A"/>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78CCB5"/>
  <w15:chartTrackingRefBased/>
  <w15:docId w15:val="{4FE5586F-971E-4035-B6CE-86E973B69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710F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710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10F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textintend3">
    <w:name w:val="text intend 3"/>
    <w:basedOn w:val="Normal"/>
    <w:rsid w:val="00A24620"/>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normalpuce">
    <w:name w:val="normal puce"/>
    <w:basedOn w:val="Normal"/>
    <w:rsid w:val="00A24620"/>
    <w:pPr>
      <w:widowControl w:val="0"/>
      <w:numPr>
        <w:numId w:val="24"/>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a">
    <w:name w:val="佐藤２"/>
    <w:basedOn w:val="Normal"/>
    <w:rsid w:val="00A24620"/>
    <w:pPr>
      <w:numPr>
        <w:numId w:val="25"/>
      </w:numPr>
      <w:spacing w:after="180" w:line="240" w:lineRule="auto"/>
    </w:pPr>
    <w:rPr>
      <w:rFonts w:ascii="Times New Roman" w:eastAsia="MS Gothic" w:hAnsi="Times New Roman" w:cs="Times New Roman"/>
      <w:sz w:val="24"/>
      <w:szCs w:val="20"/>
      <w:lang w:val="en-GB" w:eastAsia="ja-JP"/>
    </w:rPr>
  </w:style>
  <w:style w:type="character" w:styleId="PlaceholderText">
    <w:name w:val="Placeholder Text"/>
    <w:basedOn w:val="DefaultParagraphFont"/>
    <w:uiPriority w:val="99"/>
    <w:semiHidden/>
    <w:rsid w:val="000034F3"/>
    <w:rPr>
      <w:color w:val="808080"/>
    </w:rPr>
  </w:style>
  <w:style w:type="character" w:customStyle="1" w:styleId="B1Zchn">
    <w:name w:val="B1 Zchn"/>
    <w:qFormat/>
    <w:rsid w:val="009546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8261781">
      <w:bodyDiv w:val="1"/>
      <w:marLeft w:val="0"/>
      <w:marRight w:val="0"/>
      <w:marTop w:val="0"/>
      <w:marBottom w:val="0"/>
      <w:divBdr>
        <w:top w:val="none" w:sz="0" w:space="0" w:color="auto"/>
        <w:left w:val="none" w:sz="0" w:space="0" w:color="auto"/>
        <w:bottom w:val="none" w:sz="0" w:space="0" w:color="auto"/>
        <w:right w:val="none" w:sz="0" w:space="0" w:color="auto"/>
      </w:divBdr>
    </w:div>
    <w:div w:id="179686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DBD2A-9207-4E84-90D1-E2A45032A503}"/>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565023A6-F7E5-495E-A79A-1099B8E2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1512</TotalTime>
  <Pages>6</Pages>
  <Words>2476</Words>
  <Characters>13694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16138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Stephen Grant</dc:creator>
  <cp:keywords>3GPP; Ericsson; TDoc</cp:keywords>
  <dc:description/>
  <cp:lastModifiedBy>Stephen Grant</cp:lastModifiedBy>
  <cp:revision>60</cp:revision>
  <cp:lastPrinted>2008-01-31T07:09:00Z</cp:lastPrinted>
  <dcterms:created xsi:type="dcterms:W3CDTF">2020-01-22T23:23:00Z</dcterms:created>
  <dcterms:modified xsi:type="dcterms:W3CDTF">2020-05-16T02:19:00Z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